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23E6" w14:textId="60B76696" w:rsidR="005F0ED8" w:rsidRPr="009D35E0" w:rsidRDefault="00B65DCB" w:rsidP="00240942">
      <w:pPr>
        <w:spacing w:line="240" w:lineRule="auto"/>
        <w:jc w:val="center"/>
        <w:rPr>
          <w:rFonts w:ascii="Cambria" w:hAnsi="Cambria" w:cs="Times New Roman"/>
          <w:color w:val="000000" w:themeColor="text1"/>
          <w:sz w:val="18"/>
          <w:szCs w:val="18"/>
          <w:lang w:val="en-US"/>
        </w:rPr>
      </w:pPr>
      <w:r w:rsidRPr="009D35E0">
        <w:rPr>
          <w:rFonts w:ascii="Cambria" w:hAnsi="Cambria" w:cs="Times New Roman"/>
          <w:color w:val="000000" w:themeColor="text1"/>
          <w:sz w:val="18"/>
          <w:szCs w:val="18"/>
          <w:lang w:val="en-US"/>
        </w:rPr>
        <w:t>Central Asia Regional Data Review 1</w:t>
      </w:r>
      <w:r w:rsidR="009A6551" w:rsidRPr="009D35E0">
        <w:rPr>
          <w:rFonts w:ascii="Cambria" w:hAnsi="Cambria" w:cs="Times New Roman"/>
          <w:color w:val="000000" w:themeColor="text1"/>
          <w:sz w:val="18"/>
          <w:szCs w:val="18"/>
          <w:lang w:val="en-US"/>
        </w:rPr>
        <w:t>9</w:t>
      </w:r>
      <w:r w:rsidRPr="009D35E0">
        <w:rPr>
          <w:rFonts w:ascii="Cambria" w:hAnsi="Cambria" w:cs="Times New Roman"/>
          <w:color w:val="000000" w:themeColor="text1"/>
          <w:sz w:val="18"/>
          <w:szCs w:val="18"/>
          <w:lang w:val="en-US"/>
        </w:rPr>
        <w:t xml:space="preserve"> (2019) 1–</w:t>
      </w:r>
      <w:r w:rsidR="004B26E7" w:rsidRPr="009D35E0">
        <w:rPr>
          <w:rFonts w:ascii="Cambria" w:hAnsi="Cambria" w:cs="Times New Roman"/>
          <w:color w:val="000000" w:themeColor="text1"/>
          <w:sz w:val="18"/>
          <w:szCs w:val="18"/>
          <w:lang w:val="en-US"/>
        </w:rPr>
        <w:t>7</w:t>
      </w:r>
      <w:r w:rsidRPr="009D35E0">
        <w:rPr>
          <w:rFonts w:ascii="Cambria" w:hAnsi="Cambria" w:cs="Times New Roman"/>
          <w:color w:val="000000" w:themeColor="text1"/>
          <w:sz w:val="18"/>
          <w:szCs w:val="18"/>
          <w:lang w:val="en-US"/>
        </w:rPr>
        <w:t>.</w:t>
      </w:r>
    </w:p>
    <w:p w14:paraId="565E9141" w14:textId="29220633" w:rsidR="00B65DCB" w:rsidRPr="00240942" w:rsidRDefault="00B65DCB" w:rsidP="00973B36">
      <w:pPr>
        <w:spacing w:line="240" w:lineRule="auto"/>
        <w:rPr>
          <w:rFonts w:ascii="Cambria" w:hAnsi="Cambria" w:cs="Times New Roman"/>
          <w:lang w:val="en-US"/>
        </w:rPr>
      </w:pPr>
    </w:p>
    <w:p w14:paraId="262D221C" w14:textId="7273496E" w:rsidR="00B65DCB" w:rsidRPr="007E1700" w:rsidRDefault="00467AA4" w:rsidP="00973B36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7E1700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DD553" wp14:editId="48577E3E">
                <wp:simplePos x="0" y="0"/>
                <wp:positionH relativeFrom="column">
                  <wp:posOffset>1290955</wp:posOffset>
                </wp:positionH>
                <wp:positionV relativeFrom="paragraph">
                  <wp:posOffset>136112</wp:posOffset>
                </wp:positionV>
                <wp:extent cx="3505835" cy="3848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384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944E3" w14:textId="168C1348" w:rsidR="006B2F26" w:rsidRPr="00240942" w:rsidRDefault="006B2F26" w:rsidP="007C64F8">
                            <w:pPr>
                              <w:jc w:val="center"/>
                              <w:rPr>
                                <w:rFonts w:ascii="Cambria" w:hAnsi="Cambria" w:cs="Times New Roman"/>
                                <w:lang w:val="en-US"/>
                              </w:rPr>
                            </w:pPr>
                            <w:r w:rsidRPr="00240942">
                              <w:rPr>
                                <w:rFonts w:ascii="Cambria" w:hAnsi="Cambria" w:cs="Times New Roman"/>
                                <w:lang w:val="en-US"/>
                              </w:rPr>
                              <w:t>Central Asia Data Gathering and Analysis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D5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1.65pt;margin-top:10.7pt;width:276.0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" fillcolor="#d8d8d8 [2732]" stroked="f" strokeweight=".5pt">
                <v:textbox>
                  <w:txbxContent>
                    <w:p w14:paraId="223944E3" w14:textId="168C1348" w:rsidR="006B2F26" w:rsidRPr="00240942" w:rsidRDefault="006B2F26" w:rsidP="007C64F8">
                      <w:pPr>
                        <w:jc w:val="center"/>
                        <w:rPr>
                          <w:rFonts w:ascii="Cambria" w:hAnsi="Cambria" w:cs="Times New Roman"/>
                          <w:lang w:val="en-US"/>
                        </w:rPr>
                      </w:pPr>
                      <w:r w:rsidRPr="00240942">
                        <w:rPr>
                          <w:rFonts w:ascii="Cambria" w:hAnsi="Cambria" w:cs="Times New Roman"/>
                          <w:lang w:val="en-US"/>
                        </w:rPr>
                        <w:t>Central Asia Data Gathering and Analysis Team</w:t>
                      </w:r>
                    </w:p>
                  </w:txbxContent>
                </v:textbox>
              </v:shape>
            </w:pict>
          </mc:Fallback>
        </mc:AlternateContent>
      </w:r>
      <w:r w:rsidR="007C64F8" w:rsidRPr="007E1700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654D9" wp14:editId="4BD4EC42">
                <wp:simplePos x="0" y="0"/>
                <wp:positionH relativeFrom="column">
                  <wp:posOffset>4888760</wp:posOffset>
                </wp:positionH>
                <wp:positionV relativeFrom="paragraph">
                  <wp:posOffset>164901</wp:posOffset>
                </wp:positionV>
                <wp:extent cx="823716" cy="384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16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BD4CD" w14:textId="2D5755B0" w:rsidR="006B2F26" w:rsidRPr="007C64F8" w:rsidRDefault="006B2F26" w:rsidP="007C64F8">
                            <w:pPr>
                              <w:jc w:val="center"/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C64F8"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  <w:t>CADGAT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54D9" id="Text Box 8" o:spid="_x0000_s1027" type="#_x0000_t202" style="position:absolute;left:0;text-align:left;margin-left:384.95pt;margin-top:13pt;width:64.8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" filled="f" stroked="f" strokeweight=".5pt">
                <v:textbox>
                  <w:txbxContent>
                    <w:p w14:paraId="4B7BD4CD" w14:textId="2D5755B0" w:rsidR="006B2F26" w:rsidRPr="007C64F8" w:rsidRDefault="006B2F26" w:rsidP="007C64F8">
                      <w:pPr>
                        <w:jc w:val="center"/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</w:pPr>
                      <w:r w:rsidRPr="007C64F8"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  <w:t>CADGAT</w:t>
                      </w:r>
                    </w:p>
                  </w:txbxContent>
                </v:textbox>
              </v:shape>
            </w:pict>
          </mc:Fallback>
        </mc:AlternateContent>
      </w:r>
      <w:r w:rsidR="00B65DCB" w:rsidRPr="007E1700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D2032" wp14:editId="5CD13327">
                <wp:simplePos x="0" y="0"/>
                <wp:positionH relativeFrom="column">
                  <wp:posOffset>0</wp:posOffset>
                </wp:positionH>
                <wp:positionV relativeFrom="paragraph">
                  <wp:posOffset>33592</wp:posOffset>
                </wp:positionV>
                <wp:extent cx="5773420" cy="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45A3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454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" strokecolor="black [3040]" strokeweight=".25pt"/>
            </w:pict>
          </mc:Fallback>
        </mc:AlternateContent>
      </w:r>
      <w:r w:rsidR="00B65DCB" w:rsidRPr="007E1700">
        <w:rPr>
          <w:rFonts w:ascii="Cambria" w:hAnsi="Cambria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3219DBC" wp14:editId="1954A3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235" cy="328295"/>
            <wp:effectExtent l="0" t="0" r="0" b="0"/>
            <wp:wrapNone/>
            <wp:docPr id="3" name="Picture 3" descr="C:\Users\Tatiana\Desktop\downloads\NEW LOGO\for web\web-OSCE-Academy-25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downloads\NEW LOGO\for web\web-OSCE-Academy-255x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9693" w14:textId="74365598" w:rsidR="006A525D" w:rsidRPr="007E1700" w:rsidRDefault="007C64F8" w:rsidP="00973B36">
      <w:pPr>
        <w:pStyle w:val="Default"/>
        <w:rPr>
          <w:rFonts w:ascii="Cambria" w:hAnsi="Cambria" w:cs="Times New Roman"/>
          <w:lang w:val="en-GB"/>
        </w:rPr>
      </w:pPr>
      <w:r w:rsidRPr="007E1700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8E35A61" wp14:editId="491744D6">
            <wp:simplePos x="0" y="0"/>
            <wp:positionH relativeFrom="column">
              <wp:posOffset>-22225</wp:posOffset>
            </wp:positionH>
            <wp:positionV relativeFrom="paragraph">
              <wp:posOffset>94452</wp:posOffset>
            </wp:positionV>
            <wp:extent cx="982345" cy="307340"/>
            <wp:effectExtent l="0" t="0" r="0" b="0"/>
            <wp:wrapNone/>
            <wp:docPr id="1" name="Picture 1" descr="https://www.nupi.no/var/nupi/storage/images/media/images/logoer/nupi_logo_english_rgb/276703-2-nor-NO/nupi_logo_english_rgb_editor_artik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pi.no/var/nupi/storage/images/media/images/logoer/nupi_logo_english_rgb/276703-2-nor-NO/nupi_logo_english_rgb_editor_artikk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CB" w:rsidRPr="007E1700">
        <w:rPr>
          <w:rFonts w:ascii="Cambria" w:eastAsia="Times New Roman" w:hAnsi="Cambria" w:cs="Times New Roman"/>
          <w:lang w:val="en-GB"/>
        </w:rPr>
        <w:fldChar w:fldCharType="begin"/>
      </w:r>
      <w:r w:rsidR="00B65DCB" w:rsidRPr="007E1700">
        <w:rPr>
          <w:rFonts w:ascii="Cambria" w:eastAsia="Times New Roman" w:hAnsi="Cambria" w:cs="Times New Roman"/>
          <w:lang w:val="en-GB"/>
        </w:rPr>
        <w:instrText xml:space="preserve"> INCLUDEPICTURE "https://www.nupi.no/var/nupi/storage/images/media/images/logoer/nupi_logo_english_rgb/276703-2-nor-NO/nupi_logo_english_rgb_editor_artikkel.png" \* MERGEFORMATINET </w:instrText>
      </w:r>
      <w:r w:rsidR="00B65DCB" w:rsidRPr="007E1700">
        <w:rPr>
          <w:rFonts w:ascii="Cambria" w:eastAsia="Times New Roman" w:hAnsi="Cambria" w:cs="Times New Roman"/>
          <w:lang w:val="en-GB"/>
        </w:rPr>
        <w:fldChar w:fldCharType="end"/>
      </w:r>
    </w:p>
    <w:p w14:paraId="2E3D7F9D" w14:textId="1AC32CD4" w:rsidR="006A525D" w:rsidRPr="007E1700" w:rsidRDefault="006A525D" w:rsidP="00973B36">
      <w:pPr>
        <w:pStyle w:val="Default"/>
        <w:rPr>
          <w:rFonts w:ascii="Cambria" w:hAnsi="Cambria" w:cs="Times New Roman"/>
          <w:lang w:val="en-GB"/>
        </w:rPr>
      </w:pPr>
    </w:p>
    <w:p w14:paraId="0FDED440" w14:textId="27723853" w:rsidR="006A525D" w:rsidRPr="007E1700" w:rsidRDefault="00B65DCB" w:rsidP="00973B36">
      <w:pPr>
        <w:pStyle w:val="Default"/>
        <w:rPr>
          <w:rFonts w:ascii="Cambria" w:hAnsi="Cambria" w:cs="Calibri Light"/>
          <w:lang w:val="en-GB"/>
        </w:rPr>
      </w:pPr>
      <w:r w:rsidRPr="007E1700"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DA40" wp14:editId="163D5D94">
                <wp:simplePos x="0" y="0"/>
                <wp:positionH relativeFrom="column">
                  <wp:posOffset>-635</wp:posOffset>
                </wp:positionH>
                <wp:positionV relativeFrom="paragraph">
                  <wp:posOffset>74132</wp:posOffset>
                </wp:positionV>
                <wp:extent cx="5773420" cy="0"/>
                <wp:effectExtent l="0" t="1270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36F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85pt" to="45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" strokecolor="black [3040]" strokeweight="2.25pt"/>
            </w:pict>
          </mc:Fallback>
        </mc:AlternateContent>
      </w:r>
    </w:p>
    <w:p w14:paraId="2515A25A" w14:textId="77777777" w:rsidR="00467AA4" w:rsidRPr="007E1700" w:rsidRDefault="00467AA4" w:rsidP="00A4168C">
      <w:pPr>
        <w:pStyle w:val="Default"/>
        <w:rPr>
          <w:rFonts w:ascii="Cambria" w:hAnsi="Cambria" w:cs="Times New Roman"/>
          <w:lang w:val="en-GB"/>
        </w:rPr>
      </w:pPr>
    </w:p>
    <w:p w14:paraId="728146EE" w14:textId="4F28DF0B" w:rsidR="006A525D" w:rsidRPr="00E676E8" w:rsidRDefault="009A6551" w:rsidP="00973B36">
      <w:pPr>
        <w:pStyle w:val="Default"/>
        <w:rPr>
          <w:rFonts w:asciiTheme="majorHAnsi" w:hAnsiTheme="majorHAnsi" w:cs="Times New Roman"/>
          <w:sz w:val="32"/>
          <w:szCs w:val="32"/>
          <w:lang w:val="en-GB"/>
        </w:rPr>
      </w:pPr>
      <w:r w:rsidRPr="00E676E8">
        <w:rPr>
          <w:rFonts w:asciiTheme="majorHAnsi" w:hAnsiTheme="majorHAnsi" w:cs="Times New Roman"/>
          <w:sz w:val="32"/>
          <w:szCs w:val="32"/>
          <w:lang w:val="en-GB"/>
        </w:rPr>
        <w:t>Hydro</w:t>
      </w:r>
      <w:r w:rsidR="003A6CDE" w:rsidRPr="00E676E8">
        <w:rPr>
          <w:rFonts w:asciiTheme="majorHAnsi" w:hAnsiTheme="majorHAnsi" w:cs="Times New Roman"/>
          <w:sz w:val="32"/>
          <w:szCs w:val="32"/>
          <w:lang w:val="en-GB"/>
        </w:rPr>
        <w:t>p</w:t>
      </w:r>
      <w:r w:rsidR="007C64F8" w:rsidRPr="00E676E8">
        <w:rPr>
          <w:rFonts w:asciiTheme="majorHAnsi" w:hAnsiTheme="majorHAnsi" w:cs="Times New Roman"/>
          <w:sz w:val="32"/>
          <w:szCs w:val="32"/>
          <w:lang w:val="en-GB"/>
        </w:rPr>
        <w:t xml:space="preserve">ower </w:t>
      </w:r>
      <w:r w:rsidRPr="00E676E8">
        <w:rPr>
          <w:rFonts w:asciiTheme="majorHAnsi" w:hAnsiTheme="majorHAnsi" w:cs="Times New Roman"/>
          <w:sz w:val="32"/>
          <w:szCs w:val="32"/>
          <w:lang w:val="en-GB"/>
        </w:rPr>
        <w:t>P</w:t>
      </w:r>
      <w:r w:rsidR="003A6CDE" w:rsidRPr="00E676E8">
        <w:rPr>
          <w:rFonts w:asciiTheme="majorHAnsi" w:hAnsiTheme="majorHAnsi" w:cs="Times New Roman"/>
          <w:sz w:val="32"/>
          <w:szCs w:val="32"/>
          <w:lang w:val="en-GB"/>
        </w:rPr>
        <w:t>otential</w:t>
      </w:r>
      <w:r w:rsidR="007C64F8" w:rsidRPr="00E676E8">
        <w:rPr>
          <w:rFonts w:asciiTheme="majorHAnsi" w:hAnsiTheme="majorHAnsi" w:cs="Times New Roman"/>
          <w:sz w:val="32"/>
          <w:szCs w:val="32"/>
          <w:lang w:val="en-GB"/>
        </w:rPr>
        <w:t xml:space="preserve"> </w:t>
      </w:r>
      <w:r w:rsidR="003A6CDE" w:rsidRPr="00E676E8">
        <w:rPr>
          <w:rFonts w:asciiTheme="majorHAnsi" w:hAnsiTheme="majorHAnsi" w:cs="Times New Roman"/>
          <w:sz w:val="32"/>
          <w:szCs w:val="32"/>
          <w:lang w:val="en-GB"/>
        </w:rPr>
        <w:t>of</w:t>
      </w:r>
      <w:r w:rsidR="007C64F8" w:rsidRPr="00E676E8">
        <w:rPr>
          <w:rFonts w:asciiTheme="majorHAnsi" w:hAnsiTheme="majorHAnsi" w:cs="Times New Roman"/>
          <w:sz w:val="32"/>
          <w:szCs w:val="32"/>
          <w:lang w:val="en-GB"/>
        </w:rPr>
        <w:t xml:space="preserve"> </w:t>
      </w:r>
      <w:r w:rsidR="009D35E0">
        <w:rPr>
          <w:rFonts w:asciiTheme="majorHAnsi" w:hAnsiTheme="majorHAnsi" w:cs="Times New Roman"/>
          <w:sz w:val="32"/>
          <w:szCs w:val="32"/>
          <w:lang w:val="en-GB"/>
        </w:rPr>
        <w:t xml:space="preserve">the </w:t>
      </w:r>
      <w:r w:rsidR="007C64F8" w:rsidRPr="00E676E8">
        <w:rPr>
          <w:rFonts w:asciiTheme="majorHAnsi" w:hAnsiTheme="majorHAnsi" w:cs="Times New Roman"/>
          <w:sz w:val="32"/>
          <w:szCs w:val="32"/>
          <w:lang w:val="en-GB"/>
        </w:rPr>
        <w:t>Central Asia</w:t>
      </w:r>
      <w:r w:rsidR="007E1700" w:rsidRPr="00E676E8">
        <w:rPr>
          <w:rFonts w:asciiTheme="majorHAnsi" w:hAnsiTheme="majorHAnsi" w:cs="Times New Roman"/>
          <w:sz w:val="32"/>
          <w:szCs w:val="32"/>
          <w:lang w:val="en-GB"/>
        </w:rPr>
        <w:t xml:space="preserve">n </w:t>
      </w:r>
      <w:r w:rsidRPr="00E676E8">
        <w:rPr>
          <w:rFonts w:asciiTheme="majorHAnsi" w:hAnsiTheme="majorHAnsi" w:cs="Times New Roman"/>
          <w:sz w:val="32"/>
          <w:szCs w:val="32"/>
          <w:lang w:val="en-GB"/>
        </w:rPr>
        <w:t>C</w:t>
      </w:r>
      <w:r w:rsidR="007E1700" w:rsidRPr="00E676E8">
        <w:rPr>
          <w:rFonts w:asciiTheme="majorHAnsi" w:hAnsiTheme="majorHAnsi" w:cs="Times New Roman"/>
          <w:sz w:val="32"/>
          <w:szCs w:val="32"/>
          <w:lang w:val="en-GB"/>
        </w:rPr>
        <w:t>ountries</w:t>
      </w:r>
    </w:p>
    <w:p w14:paraId="0999DB19" w14:textId="77777777" w:rsidR="00386A9B" w:rsidRPr="00E676E8" w:rsidRDefault="00386A9B" w:rsidP="00386A9B">
      <w:pPr>
        <w:pStyle w:val="Default"/>
        <w:rPr>
          <w:rFonts w:asciiTheme="majorHAnsi" w:hAnsiTheme="majorHAnsi" w:cs="Times New Roman"/>
          <w:sz w:val="32"/>
          <w:lang w:val="en-US"/>
        </w:rPr>
      </w:pPr>
    </w:p>
    <w:p w14:paraId="184F0E13" w14:textId="0260EB26" w:rsidR="009859BC" w:rsidRDefault="009859BC" w:rsidP="009859BC">
      <w:pPr>
        <w:pStyle w:val="Default"/>
        <w:rPr>
          <w:rFonts w:ascii="Cambria" w:hAnsi="Cambria" w:cs="Times New Roman"/>
          <w:lang w:val="en-US"/>
        </w:rPr>
      </w:pPr>
      <w:r w:rsidRPr="00FD52CA">
        <w:rPr>
          <w:rFonts w:ascii="Cambria" w:hAnsi="Cambria" w:cs="Times New Roman"/>
          <w:lang w:val="en-US"/>
        </w:rPr>
        <w:t>Bahtiyor Eshchanov,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a,b*</w:t>
      </w:r>
      <w:r w:rsidRPr="00FD52CA">
        <w:rPr>
          <w:rFonts w:ascii="Cambria" w:hAnsi="Cambria" w:cs="Times New Roman"/>
          <w:lang w:val="en-US"/>
        </w:rPr>
        <w:t xml:space="preserve"> Alina Abylkasymova,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Farkhod Aminjonov,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b,c</w:t>
      </w:r>
      <w:r w:rsidRPr="00FD52CA">
        <w:rPr>
          <w:rFonts w:ascii="Cambria" w:hAnsi="Cambria" w:cs="Times New Roman"/>
          <w:lang w:val="en-US"/>
        </w:rPr>
        <w:t xml:space="preserve"> Dani</w:t>
      </w:r>
      <w:r>
        <w:rPr>
          <w:rFonts w:ascii="Cambria" w:hAnsi="Cambria" w:cs="Times New Roman"/>
          <w:lang w:val="en-US"/>
        </w:rPr>
        <w:t>y</w:t>
      </w:r>
      <w:r w:rsidRPr="00FD52CA">
        <w:rPr>
          <w:rFonts w:ascii="Cambria" w:hAnsi="Cambria" w:cs="Times New Roman"/>
          <w:lang w:val="en-US"/>
        </w:rPr>
        <w:t>ar Moldokanov,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Indra Overland,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r w:rsidRPr="00FD52CA">
        <w:rPr>
          <w:rFonts w:ascii="Cambria" w:hAnsi="Cambria" w:cs="Times New Roman"/>
          <w:lang w:val="en-US"/>
        </w:rPr>
        <w:t xml:space="preserve"> Roman Vakulchuk</w:t>
      </w:r>
      <w:r w:rsidRPr="00FD52CA">
        <w:rPr>
          <w:rFonts w:ascii="Cambria" w:hAnsi="Cambria" w:cs="Times New Roman"/>
          <w:position w:val="4"/>
          <w:vertAlign w:val="superscript"/>
          <w:lang w:val="en-US"/>
        </w:rPr>
        <w:t xml:space="preserve"> 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r w:rsidRPr="00FD52CA">
        <w:rPr>
          <w:rFonts w:ascii="Cambria" w:hAnsi="Cambria" w:cs="Times New Roman"/>
          <w:lang w:val="en-US"/>
        </w:rPr>
        <w:t xml:space="preserve"> </w:t>
      </w:r>
    </w:p>
    <w:p w14:paraId="5B29CFD1" w14:textId="77777777" w:rsidR="009D35E0" w:rsidRPr="009D35E0" w:rsidRDefault="009D35E0" w:rsidP="009859BC">
      <w:pPr>
        <w:pStyle w:val="Default"/>
        <w:rPr>
          <w:rFonts w:ascii="Cambria" w:hAnsi="Cambria" w:cs="Times New Roman"/>
          <w:lang w:val="en-US"/>
        </w:rPr>
      </w:pPr>
    </w:p>
    <w:p w14:paraId="2BDBBFE7" w14:textId="77777777" w:rsidR="009859BC" w:rsidRPr="00FD52CA" w:rsidRDefault="009859BC" w:rsidP="009859BC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a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Westminster International University in Tashkent</w:t>
      </w:r>
    </w:p>
    <w:p w14:paraId="285DC1F5" w14:textId="77777777" w:rsidR="009859BC" w:rsidRPr="00FD52CA" w:rsidRDefault="009859BC" w:rsidP="009859BC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b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Central Asia Data Gathering and Analysis Team (CADGAT) </w:t>
      </w:r>
    </w:p>
    <w:p w14:paraId="2FE6A0F5" w14:textId="77777777" w:rsidR="009859BC" w:rsidRPr="00D84B96" w:rsidRDefault="009859BC" w:rsidP="009859BC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c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College of Humanities and Social Sciences, Zayed University</w:t>
      </w:r>
    </w:p>
    <w:p w14:paraId="3DB99F63" w14:textId="77777777" w:rsidR="009859BC" w:rsidRPr="00FD52CA" w:rsidRDefault="009859BC" w:rsidP="009859BC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d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Norwegian Institute of International Affairs (NUPI)</w:t>
      </w:r>
    </w:p>
    <w:p w14:paraId="15245E47" w14:textId="198D1752" w:rsidR="009859BC" w:rsidRPr="00F877D2" w:rsidRDefault="009859BC" w:rsidP="009859BC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*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Corresponding author: 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B. Eshchanov; </w:t>
      </w:r>
      <w:r w:rsidRPr="005C1E5D">
        <w:rPr>
          <w:rFonts w:ascii="Cambria" w:hAnsi="Cambria" w:cs="Times New Roman"/>
          <w:i/>
          <w:sz w:val="18"/>
          <w:szCs w:val="18"/>
          <w:lang w:val="en-US"/>
        </w:rPr>
        <w:t>beshchanov@wiut.uz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; </w:t>
      </w:r>
      <w:r w:rsidRPr="005C1E5D">
        <w:rPr>
          <w:rFonts w:ascii="Cambria" w:hAnsi="Cambria" w:cs="Times New Roman"/>
          <w:i/>
          <w:sz w:val="18"/>
          <w:szCs w:val="18"/>
          <w:lang w:val="en-US"/>
        </w:rPr>
        <w:t>bahtiyor.eshchanov@gmail.com</w:t>
      </w:r>
    </w:p>
    <w:p w14:paraId="039ED08F" w14:textId="77777777" w:rsidR="009D35E0" w:rsidRPr="00E676E8" w:rsidRDefault="009D35E0" w:rsidP="007E1700">
      <w:pPr>
        <w:pStyle w:val="Default"/>
        <w:rPr>
          <w:rFonts w:asciiTheme="majorHAnsi" w:hAnsiTheme="majorHAnsi" w:cs="Times New Roman"/>
          <w:i/>
          <w:sz w:val="18"/>
          <w:szCs w:val="18"/>
          <w:lang w:val="en-US"/>
        </w:rPr>
      </w:pPr>
    </w:p>
    <w:p w14:paraId="7073A114" w14:textId="77777777" w:rsidR="007E1700" w:rsidRPr="00E676E8" w:rsidRDefault="007E1700" w:rsidP="007E1700">
      <w:pPr>
        <w:pStyle w:val="Default"/>
        <w:rPr>
          <w:rFonts w:asciiTheme="majorHAnsi" w:hAnsiTheme="majorHAnsi" w:cs="Times New Roman"/>
          <w:sz w:val="32"/>
          <w:lang w:val="en-US"/>
        </w:rPr>
      </w:pPr>
      <w:r w:rsidRPr="00E676E8">
        <w:rPr>
          <w:rFonts w:asciiTheme="majorHAnsi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2365C" wp14:editId="3DD4B309">
                <wp:simplePos x="0" y="0"/>
                <wp:positionH relativeFrom="column">
                  <wp:posOffset>2894</wp:posOffset>
                </wp:positionH>
                <wp:positionV relativeFrom="paragraph">
                  <wp:posOffset>56644</wp:posOffset>
                </wp:positionV>
                <wp:extent cx="618666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66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25923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.45pt" to="487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" strokecolor="black [3040]" strokeweight=".25pt"/>
            </w:pict>
          </mc:Fallback>
        </mc:AlternateContent>
      </w:r>
    </w:p>
    <w:p w14:paraId="1EF77E58" w14:textId="77777777" w:rsidR="007E1700" w:rsidRPr="00E676E8" w:rsidRDefault="007E1700" w:rsidP="007E1700">
      <w:pPr>
        <w:pStyle w:val="Default"/>
        <w:rPr>
          <w:rFonts w:asciiTheme="majorHAnsi" w:hAnsiTheme="majorHAnsi" w:cs="Times New Roman"/>
          <w:sz w:val="20"/>
          <w:szCs w:val="20"/>
          <w:lang w:val="en-US"/>
        </w:rPr>
      </w:pPr>
      <w:r w:rsidRPr="00E676E8">
        <w:rPr>
          <w:rFonts w:asciiTheme="majorHAnsi" w:hAnsiTheme="majorHAnsi" w:cs="Times New Roman"/>
          <w:sz w:val="20"/>
          <w:szCs w:val="20"/>
          <w:lang w:val="en-US"/>
        </w:rPr>
        <w:t>A B S T R A C T</w:t>
      </w:r>
    </w:p>
    <w:p w14:paraId="17B6B609" w14:textId="77777777" w:rsidR="007E1700" w:rsidRPr="00E676E8" w:rsidRDefault="007E1700" w:rsidP="007E1700">
      <w:pPr>
        <w:pStyle w:val="Default"/>
        <w:rPr>
          <w:rFonts w:asciiTheme="majorHAnsi" w:hAnsiTheme="majorHAnsi" w:cs="Times New Roman"/>
          <w:sz w:val="32"/>
          <w:lang w:val="en-US"/>
        </w:rPr>
      </w:pPr>
      <w:r w:rsidRPr="00E676E8">
        <w:rPr>
          <w:rFonts w:asciiTheme="majorHAnsi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A3CE5" wp14:editId="549F8F9F">
                <wp:simplePos x="0" y="0"/>
                <wp:positionH relativeFrom="column">
                  <wp:posOffset>2894</wp:posOffset>
                </wp:positionH>
                <wp:positionV relativeFrom="paragraph">
                  <wp:posOffset>138703</wp:posOffset>
                </wp:positionV>
                <wp:extent cx="61861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16784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9pt" to="487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" strokecolor="black [3040]" strokeweight=".25pt"/>
            </w:pict>
          </mc:Fallback>
        </mc:AlternateContent>
      </w:r>
    </w:p>
    <w:p w14:paraId="41EEEB73" w14:textId="0C94ADB4" w:rsidR="00DE4144" w:rsidRPr="00E676E8" w:rsidRDefault="00386A9B" w:rsidP="00F31F00">
      <w:pPr>
        <w:pStyle w:val="Default"/>
        <w:jc w:val="both"/>
        <w:rPr>
          <w:rFonts w:asciiTheme="majorHAnsi" w:hAnsiTheme="majorHAnsi" w:cs="Times New Roman"/>
          <w:sz w:val="18"/>
          <w:szCs w:val="18"/>
          <w:lang w:val="en-GB"/>
        </w:rPr>
      </w:pPr>
      <w:r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This data article surveys the </w:t>
      </w:r>
      <w:r w:rsidR="003D1014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hydropower </w:t>
      </w:r>
      <w:r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potential of </w:t>
      </w:r>
      <w:r w:rsidR="006B2F26">
        <w:rPr>
          <w:rFonts w:asciiTheme="majorHAnsi" w:hAnsiTheme="majorHAnsi" w:cs="Times New Roman"/>
          <w:sz w:val="18"/>
          <w:szCs w:val="18"/>
          <w:lang w:val="en-GB"/>
        </w:rPr>
        <w:t xml:space="preserve">the </w:t>
      </w:r>
      <w:r w:rsidR="00720F47" w:rsidRPr="00E676E8">
        <w:rPr>
          <w:rFonts w:asciiTheme="majorHAnsi" w:hAnsiTheme="majorHAnsi" w:cs="Times New Roman"/>
          <w:sz w:val="18"/>
          <w:szCs w:val="18"/>
          <w:lang w:val="en-GB"/>
        </w:rPr>
        <w:t>five Central Asian countries</w:t>
      </w:r>
      <w:r w:rsidR="006B2F26">
        <w:rPr>
          <w:rFonts w:asciiTheme="majorHAnsi" w:hAnsiTheme="majorHAnsi" w:cs="Times New Roman"/>
          <w:sz w:val="18"/>
          <w:szCs w:val="18"/>
          <w:lang w:val="en-GB"/>
        </w:rPr>
        <w:t>:</w:t>
      </w:r>
      <w:r w:rsidR="00720F47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Kazakhstan, Kyrgyzstan, Tajikistan, Turkmenistan</w:t>
      </w:r>
      <w:r w:rsidR="006B2F26">
        <w:rPr>
          <w:rFonts w:asciiTheme="majorHAnsi" w:hAnsiTheme="majorHAnsi" w:cs="Times New Roman"/>
          <w:sz w:val="18"/>
          <w:szCs w:val="18"/>
          <w:lang w:val="en-GB"/>
        </w:rPr>
        <w:t>,</w:t>
      </w:r>
      <w:r w:rsidR="00720F47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and Uzbekistan.</w:t>
      </w:r>
      <w:r w:rsidR="00117B24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430998">
        <w:rPr>
          <w:rFonts w:asciiTheme="majorHAnsi" w:hAnsiTheme="majorHAnsi" w:cs="Times New Roman"/>
          <w:sz w:val="18"/>
          <w:szCs w:val="18"/>
          <w:lang w:val="en-GB"/>
        </w:rPr>
        <w:t>The d</w:t>
      </w:r>
      <w:r w:rsidR="009E5E6A" w:rsidRPr="00E676E8">
        <w:rPr>
          <w:rFonts w:asciiTheme="majorHAnsi" w:hAnsiTheme="majorHAnsi" w:cs="Times New Roman"/>
          <w:sz w:val="18"/>
          <w:szCs w:val="18"/>
          <w:lang w:val="en-GB"/>
        </w:rPr>
        <w:t>ataset presents the theoretical</w:t>
      </w:r>
      <w:r w:rsidR="0091750F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3D1014" w:rsidRPr="00E676E8">
        <w:rPr>
          <w:rFonts w:asciiTheme="majorHAnsi" w:hAnsiTheme="majorHAnsi" w:cs="Times New Roman"/>
          <w:sz w:val="18"/>
          <w:szCs w:val="18"/>
          <w:lang w:val="en-GB"/>
        </w:rPr>
        <w:t>hydro</w:t>
      </w:r>
      <w:r w:rsidR="007E1700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power supply </w:t>
      </w:r>
      <w:r w:rsidR="0091750F" w:rsidRPr="00E676E8">
        <w:rPr>
          <w:rFonts w:asciiTheme="majorHAnsi" w:hAnsiTheme="majorHAnsi" w:cs="Times New Roman"/>
          <w:sz w:val="18"/>
          <w:szCs w:val="18"/>
          <w:lang w:val="en-GB"/>
        </w:rPr>
        <w:t>capacity</w:t>
      </w:r>
      <w:r w:rsidR="009E5E6A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6726E3">
        <w:rPr>
          <w:rFonts w:asciiTheme="majorHAnsi" w:hAnsiTheme="majorHAnsi" w:cs="Times New Roman"/>
          <w:sz w:val="18"/>
          <w:szCs w:val="18"/>
          <w:lang w:val="en-GB"/>
        </w:rPr>
        <w:t>of</w:t>
      </w:r>
      <w:r w:rsidR="00A00EE0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all </w:t>
      </w:r>
      <w:r w:rsidR="006726E3">
        <w:rPr>
          <w:rFonts w:asciiTheme="majorHAnsi" w:hAnsiTheme="majorHAnsi" w:cs="Times New Roman"/>
          <w:sz w:val="18"/>
          <w:szCs w:val="18"/>
          <w:lang w:val="en-GB"/>
        </w:rPr>
        <w:t xml:space="preserve">the </w:t>
      </w:r>
      <w:r w:rsidR="00A00EE0" w:rsidRPr="00E676E8">
        <w:rPr>
          <w:rFonts w:asciiTheme="majorHAnsi" w:hAnsiTheme="majorHAnsi" w:cs="Times New Roman"/>
          <w:sz w:val="18"/>
          <w:szCs w:val="18"/>
          <w:lang w:val="en-GB"/>
        </w:rPr>
        <w:t>river basins of</w:t>
      </w:r>
      <w:r w:rsidR="009E5E6A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Central Asia. It </w:t>
      </w:r>
      <w:r w:rsidR="006B2F26">
        <w:rPr>
          <w:rFonts w:asciiTheme="majorHAnsi" w:hAnsiTheme="majorHAnsi" w:cs="Times New Roman"/>
          <w:sz w:val="18"/>
          <w:szCs w:val="18"/>
          <w:lang w:val="en-GB"/>
        </w:rPr>
        <w:t>was</w:t>
      </w:r>
      <w:r w:rsidR="0091750F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775228" w:rsidRPr="00E676E8">
        <w:rPr>
          <w:rFonts w:asciiTheme="majorHAnsi" w:hAnsiTheme="majorHAnsi" w:cs="Times New Roman"/>
          <w:sz w:val="18"/>
          <w:szCs w:val="18"/>
          <w:lang w:val="en-GB"/>
        </w:rPr>
        <w:t>prepared using</w:t>
      </w:r>
      <w:r w:rsidR="00EA2F2F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data </w:t>
      </w:r>
      <w:r w:rsidR="00430998">
        <w:rPr>
          <w:rFonts w:asciiTheme="majorHAnsi" w:hAnsiTheme="majorHAnsi" w:cs="Times New Roman"/>
          <w:sz w:val="18"/>
          <w:szCs w:val="18"/>
          <w:lang w:val="en-GB"/>
        </w:rPr>
        <w:t>from</w:t>
      </w:r>
      <w:r w:rsidR="00EA2F2F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national and international sources</w:t>
      </w:r>
      <w:r w:rsidR="00430998">
        <w:rPr>
          <w:rFonts w:asciiTheme="majorHAnsi" w:hAnsiTheme="majorHAnsi" w:cs="Times New Roman"/>
          <w:sz w:val="18"/>
          <w:szCs w:val="18"/>
          <w:lang w:val="en-GB"/>
        </w:rPr>
        <w:t>, and i</w:t>
      </w:r>
      <w:r w:rsidR="003D6564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t provides </w:t>
      </w:r>
      <w:r w:rsidR="00A00EE0" w:rsidRPr="00E676E8">
        <w:rPr>
          <w:rFonts w:asciiTheme="majorHAnsi" w:hAnsiTheme="majorHAnsi" w:cs="Times New Roman"/>
          <w:sz w:val="18"/>
          <w:szCs w:val="18"/>
          <w:lang w:val="en-GB"/>
        </w:rPr>
        <w:t>information</w:t>
      </w:r>
      <w:r w:rsidR="003D6564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on installed small and medium hydropower capacities and planned projects in the </w:t>
      </w:r>
      <w:r w:rsidR="00430998" w:rsidRPr="00E676E8">
        <w:rPr>
          <w:rFonts w:asciiTheme="majorHAnsi" w:hAnsiTheme="majorHAnsi" w:cs="Times New Roman"/>
          <w:sz w:val="18"/>
          <w:szCs w:val="18"/>
          <w:lang w:val="en-GB"/>
        </w:rPr>
        <w:t>above-mentioned</w:t>
      </w:r>
      <w:r w:rsidR="00A00EE0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c</w:t>
      </w:r>
      <w:r w:rsidR="003D6564" w:rsidRPr="00E676E8">
        <w:rPr>
          <w:rFonts w:asciiTheme="majorHAnsi" w:hAnsiTheme="majorHAnsi" w:cs="Times New Roman"/>
          <w:sz w:val="18"/>
          <w:szCs w:val="18"/>
          <w:lang w:val="en-GB"/>
        </w:rPr>
        <w:t>ountries.</w:t>
      </w:r>
    </w:p>
    <w:p w14:paraId="79B7E597" w14:textId="1EEFD116" w:rsidR="00973B36" w:rsidRPr="00E676E8" w:rsidRDefault="00973B36" w:rsidP="00973B36">
      <w:pPr>
        <w:pStyle w:val="Default"/>
        <w:rPr>
          <w:rFonts w:asciiTheme="majorHAnsi" w:hAnsiTheme="majorHAnsi" w:cs="Times New Roman"/>
          <w:sz w:val="18"/>
          <w:szCs w:val="18"/>
          <w:lang w:val="en-GB"/>
        </w:rPr>
      </w:pPr>
    </w:p>
    <w:p w14:paraId="1118E66E" w14:textId="14AC2A9A" w:rsidR="00973B36" w:rsidRDefault="00973B36" w:rsidP="00973B36">
      <w:pPr>
        <w:pStyle w:val="Default"/>
        <w:rPr>
          <w:rFonts w:asciiTheme="majorHAnsi" w:hAnsiTheme="majorHAnsi" w:cs="Times New Roman"/>
          <w:sz w:val="18"/>
          <w:szCs w:val="18"/>
          <w:lang w:val="en-GB"/>
        </w:rPr>
      </w:pPr>
      <w:r w:rsidRPr="00E676E8">
        <w:rPr>
          <w:rFonts w:asciiTheme="majorHAnsi" w:hAnsiTheme="majorHAnsi" w:cs="Times New Roman"/>
          <w:i/>
          <w:sz w:val="18"/>
          <w:szCs w:val="18"/>
          <w:lang w:val="en-GB"/>
        </w:rPr>
        <w:t>Keywords:</w:t>
      </w:r>
      <w:r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 </w:t>
      </w:r>
      <w:r w:rsidR="009D35E0">
        <w:rPr>
          <w:rFonts w:asciiTheme="majorHAnsi" w:hAnsiTheme="majorHAnsi" w:cs="Times New Roman"/>
          <w:sz w:val="18"/>
          <w:szCs w:val="18"/>
          <w:lang w:val="en-GB"/>
        </w:rPr>
        <w:t>hydro</w:t>
      </w:r>
      <w:r w:rsidR="00775228" w:rsidRPr="00E676E8">
        <w:rPr>
          <w:rFonts w:asciiTheme="majorHAnsi" w:hAnsiTheme="majorHAnsi" w:cs="Times New Roman"/>
          <w:sz w:val="18"/>
          <w:szCs w:val="18"/>
          <w:lang w:val="en-GB"/>
        </w:rPr>
        <w:t>power</w:t>
      </w:r>
      <w:r w:rsidR="008E49EC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, </w:t>
      </w:r>
      <w:r w:rsidR="009E5E6A"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renewable energy, </w:t>
      </w:r>
      <w:r w:rsidRPr="00E676E8">
        <w:rPr>
          <w:rFonts w:asciiTheme="majorHAnsi" w:hAnsiTheme="majorHAnsi" w:cs="Times New Roman"/>
          <w:sz w:val="18"/>
          <w:szCs w:val="18"/>
          <w:lang w:val="en-GB"/>
        </w:rPr>
        <w:t xml:space="preserve">Central Asia, Kazakhstan, Kyrgyzstan, Tajikistan, Turkmenistan, Uzbekistan </w:t>
      </w:r>
    </w:p>
    <w:p w14:paraId="6F9C9B91" w14:textId="77777777" w:rsidR="009D35E0" w:rsidRPr="00E676E8" w:rsidRDefault="009D35E0" w:rsidP="00973B36">
      <w:pPr>
        <w:pStyle w:val="Default"/>
        <w:rPr>
          <w:rFonts w:asciiTheme="majorHAnsi" w:hAnsiTheme="majorHAnsi" w:cs="Times New Roman"/>
          <w:sz w:val="18"/>
          <w:szCs w:val="18"/>
          <w:lang w:val="en-GB"/>
        </w:rPr>
      </w:pPr>
    </w:p>
    <w:p w14:paraId="3A527DE6" w14:textId="1026EE7F" w:rsidR="006A525D" w:rsidRPr="00E676E8" w:rsidRDefault="007C13FE" w:rsidP="00973B36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E676E8">
        <w:rPr>
          <w:rFonts w:asciiTheme="majorHAnsi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BFCEB" wp14:editId="04B42ECB">
                <wp:simplePos x="0" y="0"/>
                <wp:positionH relativeFrom="column">
                  <wp:posOffset>2894</wp:posOffset>
                </wp:positionH>
                <wp:positionV relativeFrom="paragraph">
                  <wp:posOffset>32707</wp:posOffset>
                </wp:positionV>
                <wp:extent cx="618617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25290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.6pt" to="487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" strokecolor="black [3040]" strokeweight=".25pt"/>
            </w:pict>
          </mc:Fallback>
        </mc:AlternateContent>
      </w:r>
    </w:p>
    <w:p w14:paraId="1BF6AD5D" w14:textId="52A8A2DE" w:rsidR="00467AA4" w:rsidRPr="00E676E8" w:rsidRDefault="00467AA4" w:rsidP="00973B36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en-GB"/>
        </w:rPr>
        <w:sectPr w:rsidR="00467AA4" w:rsidRPr="00E676E8" w:rsidSect="00A47FB8">
          <w:headerReference w:type="default" r:id="rId10"/>
          <w:footerReference w:type="defaul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3CCBEBAB" w14:textId="620187FB" w:rsidR="00973B36" w:rsidRPr="00E676E8" w:rsidRDefault="00973B36" w:rsidP="00973B36">
      <w:pPr>
        <w:pStyle w:val="Heading2"/>
        <w:spacing w:before="0" w:line="240" w:lineRule="auto"/>
        <w:rPr>
          <w:lang w:val="en-GB"/>
        </w:rPr>
      </w:pPr>
      <w:r w:rsidRPr="00E676E8">
        <w:rPr>
          <w:lang w:val="en-GB"/>
        </w:rPr>
        <w:t>Background</w:t>
      </w:r>
    </w:p>
    <w:p w14:paraId="326CB995" w14:textId="163AC8CD" w:rsidR="00E676E8" w:rsidRPr="00E676E8" w:rsidRDefault="00724B4A" w:rsidP="00AB1541">
      <w:pPr>
        <w:spacing w:line="240" w:lineRule="auto"/>
        <w:rPr>
          <w:rFonts w:asciiTheme="majorHAnsi" w:hAnsiTheme="majorHAnsi"/>
          <w:shd w:val="clear" w:color="auto" w:fill="FFFFFF"/>
          <w:lang w:val="en-GB"/>
        </w:rPr>
      </w:pPr>
      <w:r>
        <w:rPr>
          <w:rFonts w:asciiTheme="majorHAnsi" w:hAnsiTheme="majorHAnsi"/>
          <w:shd w:val="clear" w:color="auto" w:fill="FFFFFF"/>
          <w:lang w:val="en-GB"/>
        </w:rPr>
        <w:t>Even though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 hydropower resources are unevenly distributed among </w:t>
      </w:r>
      <w:r w:rsidR="006B2F26">
        <w:rPr>
          <w:rFonts w:asciiTheme="majorHAnsi" w:hAnsiTheme="majorHAnsi"/>
          <w:shd w:val="clear" w:color="auto" w:fill="FFFFFF"/>
          <w:lang w:val="en-GB"/>
        </w:rPr>
        <w:t xml:space="preserve">the 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>Central Asia</w:t>
      </w:r>
      <w:r>
        <w:rPr>
          <w:rFonts w:asciiTheme="majorHAnsi" w:hAnsiTheme="majorHAnsi"/>
          <w:shd w:val="clear" w:color="auto" w:fill="FFFFFF"/>
          <w:lang w:val="en-GB"/>
        </w:rPr>
        <w:t>n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 countries, </w:t>
      </w:r>
      <w:r>
        <w:rPr>
          <w:rFonts w:asciiTheme="majorHAnsi" w:hAnsiTheme="majorHAnsi"/>
          <w:shd w:val="clear" w:color="auto" w:fill="FFFFFF"/>
          <w:lang w:val="en-GB"/>
        </w:rPr>
        <w:t>they are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 the most exploited renewable energy source in the region.</w:t>
      </w:r>
      <w:r w:rsidR="006B2F26">
        <w:rPr>
          <w:rFonts w:asciiTheme="majorHAnsi" w:hAnsiTheme="majorHAnsi"/>
          <w:shd w:val="clear" w:color="auto" w:fill="FFFFFF"/>
          <w:lang w:val="en-GB"/>
        </w:rPr>
        <w:t xml:space="preserve"> </w:t>
      </w:r>
      <w:r>
        <w:rPr>
          <w:rFonts w:asciiTheme="majorHAnsi" w:hAnsiTheme="majorHAnsi"/>
          <w:shd w:val="clear" w:color="auto" w:fill="FFFFFF"/>
          <w:lang w:val="en-GB"/>
        </w:rPr>
        <w:t>The p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>ower sectors of upstream Kyrgyzstan and Tajikistan</w:t>
      </w:r>
      <w:r w:rsidR="003D6564" w:rsidRPr="00E676E8">
        <w:rPr>
          <w:rFonts w:asciiTheme="majorHAnsi" w:hAnsiTheme="majorHAnsi"/>
          <w:shd w:val="clear" w:color="auto" w:fill="FFFFFF"/>
          <w:lang w:val="en-GB"/>
        </w:rPr>
        <w:t xml:space="preserve">, endowed with </w:t>
      </w:r>
      <w:r w:rsidR="006B2F26">
        <w:rPr>
          <w:rFonts w:asciiTheme="majorHAnsi" w:hAnsiTheme="majorHAnsi"/>
          <w:shd w:val="clear" w:color="auto" w:fill="FFFFFF"/>
          <w:lang w:val="en-GB"/>
        </w:rPr>
        <w:t>some of the world’s greatest</w:t>
      </w:r>
      <w:r w:rsidR="006B2F26" w:rsidRPr="00E676E8">
        <w:rPr>
          <w:rFonts w:asciiTheme="majorHAnsi" w:hAnsiTheme="majorHAnsi"/>
          <w:shd w:val="clear" w:color="auto" w:fill="FFFFFF"/>
          <w:lang w:val="en-GB"/>
        </w:rPr>
        <w:t xml:space="preserve"> </w:t>
      </w:r>
      <w:r w:rsidR="003D6564" w:rsidRPr="00E676E8">
        <w:rPr>
          <w:rFonts w:asciiTheme="majorHAnsi" w:hAnsiTheme="majorHAnsi"/>
          <w:shd w:val="clear" w:color="auto" w:fill="FFFFFF"/>
          <w:lang w:val="en-GB"/>
        </w:rPr>
        <w:t>hydropower potential,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 rely </w:t>
      </w:r>
      <w:r>
        <w:rPr>
          <w:rFonts w:asciiTheme="majorHAnsi" w:hAnsiTheme="majorHAnsi"/>
          <w:shd w:val="clear" w:color="auto" w:fill="FFFFFF"/>
          <w:lang w:val="en-GB"/>
        </w:rPr>
        <w:t xml:space="preserve">heavily 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>on large</w:t>
      </w:r>
      <w:r>
        <w:rPr>
          <w:rFonts w:asciiTheme="majorHAnsi" w:hAnsiTheme="majorHAnsi"/>
          <w:shd w:val="clear" w:color="auto" w:fill="FFFFFF"/>
          <w:lang w:val="en-GB"/>
        </w:rPr>
        <w:t>-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 and </w:t>
      </w:r>
      <w:r w:rsidR="003D6564" w:rsidRPr="00E676E8">
        <w:rPr>
          <w:rFonts w:asciiTheme="majorHAnsi" w:hAnsiTheme="majorHAnsi"/>
          <w:shd w:val="clear" w:color="auto" w:fill="FFFFFF"/>
          <w:lang w:val="en-GB"/>
        </w:rPr>
        <w:t>small-scale hydropower plants. Nevertheless, h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ydropower plays </w:t>
      </w:r>
      <w:r>
        <w:rPr>
          <w:rFonts w:asciiTheme="majorHAnsi" w:hAnsiTheme="majorHAnsi"/>
          <w:shd w:val="clear" w:color="auto" w:fill="FFFFFF"/>
          <w:lang w:val="en-GB"/>
        </w:rPr>
        <w:t xml:space="preserve">a </w:t>
      </w:r>
      <w:r w:rsidR="00472542" w:rsidRPr="00E676E8">
        <w:rPr>
          <w:rFonts w:asciiTheme="majorHAnsi" w:hAnsiTheme="majorHAnsi"/>
          <w:shd w:val="clear" w:color="auto" w:fill="FFFFFF"/>
          <w:lang w:val="en-GB"/>
        </w:rPr>
        <w:t xml:space="preserve">significant role in the energy balance of the downstream </w:t>
      </w:r>
      <w:r w:rsidR="003D6564" w:rsidRPr="00E676E8">
        <w:rPr>
          <w:rFonts w:asciiTheme="majorHAnsi" w:hAnsiTheme="majorHAnsi"/>
          <w:shd w:val="clear" w:color="auto" w:fill="FFFFFF"/>
          <w:lang w:val="en-GB"/>
        </w:rPr>
        <w:t>and fossil-rich</w:t>
      </w:r>
      <w:r w:rsidR="006B2F26">
        <w:rPr>
          <w:rFonts w:asciiTheme="majorHAnsi" w:hAnsiTheme="majorHAnsi"/>
          <w:shd w:val="clear" w:color="auto" w:fill="FFFFFF"/>
          <w:lang w:val="en-GB"/>
        </w:rPr>
        <w:t xml:space="preserve"> countries:</w:t>
      </w:r>
      <w:r w:rsidR="003D6564" w:rsidRPr="00E676E8">
        <w:rPr>
          <w:rFonts w:asciiTheme="majorHAnsi" w:hAnsiTheme="majorHAnsi"/>
          <w:shd w:val="clear" w:color="auto" w:fill="FFFFFF"/>
          <w:lang w:val="en-GB"/>
        </w:rPr>
        <w:t xml:space="preserve"> Kazakhstan, Turkmenistan and Uzbekistan.</w:t>
      </w:r>
    </w:p>
    <w:p w14:paraId="07624343" w14:textId="71B1CC79" w:rsidR="006841A2" w:rsidRPr="00E676E8" w:rsidRDefault="003D6564" w:rsidP="00E676E8">
      <w:pPr>
        <w:spacing w:line="240" w:lineRule="auto"/>
        <w:ind w:firstLine="708"/>
        <w:rPr>
          <w:rFonts w:asciiTheme="majorHAnsi" w:hAnsiTheme="majorHAnsi"/>
          <w:shd w:val="clear" w:color="auto" w:fill="FFFFFF"/>
          <w:lang w:val="en-GB"/>
        </w:rPr>
      </w:pPr>
      <w:r w:rsidRPr="00E676E8">
        <w:rPr>
          <w:rFonts w:asciiTheme="majorHAnsi" w:hAnsiTheme="majorHAnsi"/>
          <w:shd w:val="clear" w:color="auto" w:fill="FFFFFF"/>
          <w:lang w:val="en-GB"/>
        </w:rPr>
        <w:t>There is limited information and data on</w:t>
      </w:r>
      <w:r w:rsidR="00386A9B" w:rsidRPr="00E676E8">
        <w:rPr>
          <w:rFonts w:asciiTheme="majorHAnsi" w:hAnsiTheme="majorHAnsi"/>
          <w:shd w:val="clear" w:color="auto" w:fill="FFFFFF"/>
          <w:lang w:val="en-GB"/>
        </w:rPr>
        <w:t xml:space="preserve"> </w:t>
      </w:r>
      <w:r w:rsidR="00724B4A">
        <w:rPr>
          <w:rFonts w:asciiTheme="majorHAnsi" w:hAnsiTheme="majorHAnsi"/>
          <w:shd w:val="clear" w:color="auto" w:fill="FFFFFF"/>
          <w:lang w:val="en-GB"/>
        </w:rPr>
        <w:t xml:space="preserve">the </w:t>
      </w:r>
      <w:r w:rsidRPr="00E676E8">
        <w:rPr>
          <w:rFonts w:asciiTheme="majorHAnsi" w:hAnsiTheme="majorHAnsi"/>
          <w:shd w:val="clear" w:color="auto" w:fill="FFFFFF"/>
          <w:lang w:val="en-GB"/>
        </w:rPr>
        <w:t xml:space="preserve">hydropower potential of Central Asian countries in the </w:t>
      </w:r>
      <w:r w:rsidR="00386A9B" w:rsidRPr="00E676E8">
        <w:rPr>
          <w:rFonts w:asciiTheme="majorHAnsi" w:hAnsiTheme="majorHAnsi"/>
          <w:shd w:val="clear" w:color="auto" w:fill="FFFFFF"/>
          <w:lang w:val="en-GB"/>
        </w:rPr>
        <w:t xml:space="preserve">literature and the media. </w:t>
      </w:r>
      <w:r w:rsidR="006841A2" w:rsidRPr="00E676E8">
        <w:rPr>
          <w:rFonts w:asciiTheme="majorHAnsi" w:hAnsiTheme="majorHAnsi"/>
          <w:lang w:val="en-US"/>
        </w:rPr>
        <w:t>The</w:t>
      </w:r>
      <w:r w:rsidR="00724B4A">
        <w:rPr>
          <w:rFonts w:asciiTheme="majorHAnsi" w:hAnsiTheme="majorHAnsi"/>
          <w:lang w:val="en-US"/>
        </w:rPr>
        <w:t>refore, the</w:t>
      </w:r>
      <w:r w:rsidR="006841A2" w:rsidRPr="00E676E8">
        <w:rPr>
          <w:rFonts w:asciiTheme="majorHAnsi" w:hAnsiTheme="majorHAnsi"/>
          <w:lang w:val="en-US"/>
        </w:rPr>
        <w:t xml:space="preserve"> Central Asia Data</w:t>
      </w:r>
      <w:r w:rsidR="00724B4A">
        <w:rPr>
          <w:rFonts w:asciiTheme="majorHAnsi" w:hAnsiTheme="majorHAnsi"/>
          <w:lang w:val="en-US"/>
        </w:rPr>
        <w:t xml:space="preserve"> </w:t>
      </w:r>
      <w:r w:rsidR="006841A2" w:rsidRPr="00E676E8">
        <w:rPr>
          <w:rFonts w:asciiTheme="majorHAnsi" w:hAnsiTheme="majorHAnsi"/>
          <w:lang w:val="en-US"/>
        </w:rPr>
        <w:t xml:space="preserve">Gathering and Analysis Team </w:t>
      </w:r>
      <w:r w:rsidR="00834F01">
        <w:rPr>
          <w:rFonts w:asciiTheme="majorHAnsi" w:hAnsiTheme="majorHAnsi"/>
          <w:lang w:val="en-US"/>
        </w:rPr>
        <w:t xml:space="preserve">(CADGAT) </w:t>
      </w:r>
      <w:r w:rsidR="006841A2" w:rsidRPr="00E676E8">
        <w:rPr>
          <w:rFonts w:asciiTheme="majorHAnsi" w:hAnsiTheme="majorHAnsi"/>
          <w:lang w:val="en-US"/>
        </w:rPr>
        <w:t xml:space="preserve">is producing a series of datasets on renewable energy in Central Asia to help provide a basis for further research in this area. These data are also available in a unified database in </w:t>
      </w:r>
      <w:r w:rsidR="00724B4A">
        <w:rPr>
          <w:rFonts w:asciiTheme="majorHAnsi" w:hAnsiTheme="majorHAnsi"/>
          <w:lang w:val="en-US"/>
        </w:rPr>
        <w:t>E</w:t>
      </w:r>
      <w:r w:rsidR="006841A2" w:rsidRPr="00E676E8">
        <w:rPr>
          <w:rFonts w:asciiTheme="majorHAnsi" w:hAnsiTheme="majorHAnsi"/>
          <w:lang w:val="en-US"/>
        </w:rPr>
        <w:t xml:space="preserve">xcel format from </w:t>
      </w:r>
    </w:p>
    <w:p w14:paraId="0ECDC744" w14:textId="5FBB26B9" w:rsidR="006841A2" w:rsidRPr="00E676E8" w:rsidRDefault="00465A8A" w:rsidP="006841A2">
      <w:pPr>
        <w:spacing w:line="240" w:lineRule="auto"/>
        <w:rPr>
          <w:rFonts w:asciiTheme="majorHAnsi" w:hAnsiTheme="majorHAnsi"/>
          <w:shd w:val="clear" w:color="auto" w:fill="FFFFFF"/>
          <w:lang w:val="en-GB"/>
        </w:rPr>
      </w:pPr>
      <w:hyperlink r:id="rId12" w:history="1">
        <w:r w:rsidR="006841A2" w:rsidRPr="00E676E8">
          <w:rPr>
            <w:rStyle w:val="Hyperlink"/>
            <w:rFonts w:asciiTheme="majorHAnsi" w:hAnsiTheme="majorHAnsi" w:cs="Times New Roman"/>
            <w:sz w:val="20"/>
            <w:szCs w:val="20"/>
            <w:lang w:val="en-US"/>
          </w:rPr>
          <w:t>http://osce-academy.net/en/research/cadgat/</w:t>
        </w:r>
      </w:hyperlink>
    </w:p>
    <w:p w14:paraId="29843E6E" w14:textId="77777777" w:rsidR="00386A9B" w:rsidRPr="00E676E8" w:rsidRDefault="00386A9B" w:rsidP="00973B36">
      <w:pPr>
        <w:spacing w:line="240" w:lineRule="auto"/>
        <w:rPr>
          <w:rFonts w:asciiTheme="majorHAnsi" w:hAnsiTheme="majorHAnsi" w:cs="Times New Roman"/>
          <w:sz w:val="24"/>
          <w:szCs w:val="24"/>
          <w:lang w:val="en-GB"/>
        </w:rPr>
      </w:pPr>
    </w:p>
    <w:p w14:paraId="05AC85AB" w14:textId="14DEBCCF" w:rsidR="00973B36" w:rsidRPr="00E676E8" w:rsidRDefault="006A525D" w:rsidP="00F02A24">
      <w:pPr>
        <w:pStyle w:val="Heading2"/>
        <w:spacing w:before="0" w:line="240" w:lineRule="auto"/>
        <w:rPr>
          <w:lang w:val="en-GB"/>
        </w:rPr>
      </w:pPr>
      <w:r w:rsidRPr="00E676E8">
        <w:rPr>
          <w:lang w:val="en-GB"/>
        </w:rPr>
        <w:t>Data collection</w:t>
      </w:r>
    </w:p>
    <w:p w14:paraId="1721CD4E" w14:textId="015138CB" w:rsidR="000864A0" w:rsidRPr="00E676E8" w:rsidRDefault="00DA6520" w:rsidP="00E676E8">
      <w:pPr>
        <w:spacing w:line="240" w:lineRule="auto"/>
        <w:rPr>
          <w:rFonts w:asciiTheme="majorHAnsi" w:hAnsiTheme="majorHAnsi"/>
          <w:lang w:val="en-GB"/>
        </w:rPr>
      </w:pPr>
      <w:r w:rsidRPr="00E676E8">
        <w:rPr>
          <w:rFonts w:asciiTheme="majorHAnsi" w:hAnsiTheme="majorHAnsi"/>
          <w:lang w:val="en-GB"/>
        </w:rPr>
        <w:t xml:space="preserve">Data collection for </w:t>
      </w:r>
      <w:r w:rsidR="008E4944" w:rsidRPr="00E676E8">
        <w:rPr>
          <w:rFonts w:asciiTheme="majorHAnsi" w:hAnsiTheme="majorHAnsi"/>
          <w:lang w:val="en-GB"/>
        </w:rPr>
        <w:t xml:space="preserve">this </w:t>
      </w:r>
      <w:r w:rsidR="00580CB0" w:rsidRPr="00E676E8">
        <w:rPr>
          <w:rFonts w:asciiTheme="majorHAnsi" w:hAnsiTheme="majorHAnsi"/>
          <w:lang w:val="en-GB"/>
        </w:rPr>
        <w:t xml:space="preserve">CADGAT </w:t>
      </w:r>
      <w:r w:rsidR="008E4944" w:rsidRPr="00E676E8">
        <w:rPr>
          <w:rFonts w:asciiTheme="majorHAnsi" w:hAnsiTheme="majorHAnsi"/>
          <w:lang w:val="en-GB"/>
        </w:rPr>
        <w:t>data</w:t>
      </w:r>
      <w:r w:rsidR="006B2F26">
        <w:rPr>
          <w:rFonts w:asciiTheme="majorHAnsi" w:hAnsiTheme="majorHAnsi"/>
          <w:lang w:val="en-GB"/>
        </w:rPr>
        <w:t xml:space="preserve"> article</w:t>
      </w:r>
      <w:r w:rsidR="008E4944" w:rsidRPr="00E676E8">
        <w:rPr>
          <w:rFonts w:asciiTheme="majorHAnsi" w:hAnsiTheme="majorHAnsi"/>
          <w:lang w:val="en-GB"/>
        </w:rPr>
        <w:t xml:space="preserve"> </w:t>
      </w:r>
      <w:r w:rsidRPr="00E676E8">
        <w:rPr>
          <w:rFonts w:asciiTheme="majorHAnsi" w:hAnsiTheme="majorHAnsi"/>
          <w:lang w:val="en-GB"/>
        </w:rPr>
        <w:t xml:space="preserve">was </w:t>
      </w:r>
      <w:r w:rsidR="00724B4A" w:rsidRPr="00E676E8">
        <w:rPr>
          <w:rFonts w:asciiTheme="majorHAnsi" w:hAnsiTheme="majorHAnsi"/>
          <w:lang w:val="en-GB"/>
        </w:rPr>
        <w:t>conducted</w:t>
      </w:r>
      <w:r w:rsidR="00386A9B" w:rsidRPr="00E676E8">
        <w:rPr>
          <w:rFonts w:asciiTheme="majorHAnsi" w:hAnsiTheme="majorHAnsi"/>
          <w:lang w:val="en-GB"/>
        </w:rPr>
        <w:t xml:space="preserve"> </w:t>
      </w:r>
      <w:r w:rsidR="00F403F4">
        <w:rPr>
          <w:rFonts w:asciiTheme="majorHAnsi" w:hAnsiTheme="majorHAnsi"/>
          <w:lang w:val="en-GB"/>
        </w:rPr>
        <w:t xml:space="preserve">from </w:t>
      </w:r>
      <w:r w:rsidR="009D35E0">
        <w:rPr>
          <w:rFonts w:asciiTheme="majorHAnsi" w:hAnsiTheme="majorHAnsi"/>
          <w:lang w:val="en-GB"/>
        </w:rPr>
        <w:t>September</w:t>
      </w:r>
      <w:r w:rsidR="00386A9B" w:rsidRPr="00E676E8">
        <w:rPr>
          <w:rFonts w:asciiTheme="majorHAnsi" w:hAnsiTheme="majorHAnsi"/>
          <w:lang w:val="en-GB"/>
        </w:rPr>
        <w:t xml:space="preserve"> 2018</w:t>
      </w:r>
      <w:r w:rsidR="00724B4A">
        <w:rPr>
          <w:rFonts w:asciiTheme="majorHAnsi" w:hAnsiTheme="majorHAnsi"/>
          <w:lang w:val="en-GB"/>
        </w:rPr>
        <w:t xml:space="preserve"> to</w:t>
      </w:r>
      <w:r w:rsidR="00834F01">
        <w:rPr>
          <w:rFonts w:asciiTheme="majorHAnsi" w:hAnsiTheme="majorHAnsi"/>
          <w:lang w:val="en-GB"/>
        </w:rPr>
        <w:t xml:space="preserve"> </w:t>
      </w:r>
      <w:r w:rsidR="00386A9B" w:rsidRPr="00E676E8">
        <w:rPr>
          <w:rFonts w:asciiTheme="majorHAnsi" w:hAnsiTheme="majorHAnsi"/>
          <w:lang w:val="en-GB"/>
        </w:rPr>
        <w:t>January</w:t>
      </w:r>
      <w:r w:rsidR="008E4944" w:rsidRPr="00E676E8">
        <w:rPr>
          <w:rFonts w:asciiTheme="majorHAnsi" w:hAnsiTheme="majorHAnsi"/>
          <w:lang w:val="en-GB"/>
        </w:rPr>
        <w:t xml:space="preserve"> 201</w:t>
      </w:r>
      <w:r w:rsidR="00386A9B" w:rsidRPr="00E676E8">
        <w:rPr>
          <w:rFonts w:asciiTheme="majorHAnsi" w:hAnsiTheme="majorHAnsi"/>
          <w:lang w:val="en-GB"/>
        </w:rPr>
        <w:t>9</w:t>
      </w:r>
      <w:r w:rsidRPr="00E676E8">
        <w:rPr>
          <w:rFonts w:asciiTheme="majorHAnsi" w:hAnsiTheme="majorHAnsi"/>
          <w:lang w:val="en-GB"/>
        </w:rPr>
        <w:t xml:space="preserve">, </w:t>
      </w:r>
      <w:r w:rsidR="008E4944" w:rsidRPr="00E676E8">
        <w:rPr>
          <w:rFonts w:asciiTheme="majorHAnsi" w:hAnsiTheme="majorHAnsi"/>
          <w:lang w:val="en-GB"/>
        </w:rPr>
        <w:t xml:space="preserve">and </w:t>
      </w:r>
      <w:r w:rsidRPr="00E676E8">
        <w:rPr>
          <w:rFonts w:asciiTheme="majorHAnsi" w:hAnsiTheme="majorHAnsi"/>
          <w:lang w:val="en-GB"/>
        </w:rPr>
        <w:t xml:space="preserve">the figures presented here reflect the situation </w:t>
      </w:r>
      <w:r w:rsidR="008E4944" w:rsidRPr="00E676E8">
        <w:rPr>
          <w:rFonts w:asciiTheme="majorHAnsi" w:hAnsiTheme="majorHAnsi"/>
          <w:lang w:val="en-GB"/>
        </w:rPr>
        <w:t>during that period</w:t>
      </w:r>
      <w:r w:rsidR="000864A0" w:rsidRPr="00E676E8">
        <w:rPr>
          <w:rFonts w:asciiTheme="majorHAnsi" w:hAnsiTheme="majorHAnsi"/>
          <w:lang w:val="en-GB"/>
        </w:rPr>
        <w:t>.</w:t>
      </w:r>
      <w:r w:rsidR="001163EC" w:rsidRPr="00E676E8">
        <w:rPr>
          <w:rFonts w:asciiTheme="majorHAnsi" w:hAnsiTheme="majorHAnsi"/>
          <w:lang w:val="en-GB"/>
        </w:rPr>
        <w:t xml:space="preserve"> Data were obtained and prepared based on </w:t>
      </w:r>
      <w:r w:rsidR="003D6564" w:rsidRPr="00E676E8">
        <w:rPr>
          <w:rFonts w:asciiTheme="majorHAnsi" w:hAnsiTheme="majorHAnsi"/>
          <w:lang w:val="en-GB"/>
        </w:rPr>
        <w:t>information obtained from national and international sources.</w:t>
      </w:r>
      <w:r w:rsidR="001163EC" w:rsidRPr="00E676E8">
        <w:rPr>
          <w:rFonts w:asciiTheme="majorHAnsi" w:hAnsiTheme="majorHAnsi"/>
          <w:lang w:val="en-GB"/>
        </w:rPr>
        <w:t xml:space="preserve"> </w:t>
      </w:r>
    </w:p>
    <w:p w14:paraId="354C7BA9" w14:textId="77777777" w:rsidR="00973B36" w:rsidRPr="00E676E8" w:rsidRDefault="00973B36" w:rsidP="00F02A24">
      <w:pPr>
        <w:rPr>
          <w:rFonts w:asciiTheme="majorHAnsi" w:hAnsiTheme="majorHAnsi"/>
          <w:sz w:val="24"/>
          <w:szCs w:val="24"/>
          <w:lang w:val="en-GB"/>
        </w:rPr>
      </w:pPr>
    </w:p>
    <w:p w14:paraId="36B58517" w14:textId="265DD46B" w:rsidR="000F7B39" w:rsidRPr="00E676E8" w:rsidRDefault="006A525D" w:rsidP="00A4168C">
      <w:pPr>
        <w:pStyle w:val="Heading2"/>
        <w:spacing w:before="0" w:line="240" w:lineRule="auto"/>
        <w:rPr>
          <w:lang w:val="en-GB"/>
        </w:rPr>
      </w:pPr>
      <w:r w:rsidRPr="00E676E8">
        <w:rPr>
          <w:lang w:val="en-GB"/>
        </w:rPr>
        <w:t>Key findings</w:t>
      </w:r>
    </w:p>
    <w:p w14:paraId="2077E7E8" w14:textId="2733AAE1" w:rsidR="00B14171" w:rsidRPr="00E676E8" w:rsidRDefault="003D6564" w:rsidP="00E676E8">
      <w:pPr>
        <w:spacing w:line="240" w:lineRule="auto"/>
        <w:rPr>
          <w:rFonts w:asciiTheme="majorHAnsi" w:hAnsiTheme="majorHAnsi"/>
          <w:lang w:val="en-GB"/>
        </w:rPr>
      </w:pPr>
      <w:r w:rsidRPr="00E676E8">
        <w:rPr>
          <w:rFonts w:asciiTheme="majorHAnsi" w:hAnsiTheme="majorHAnsi"/>
          <w:lang w:val="en-GB"/>
        </w:rPr>
        <w:t xml:space="preserve">Uzbekistan already exploits 40% of its technically feasible hydropower potential, while Kazakhstan and Kyrgyzstan </w:t>
      </w:r>
      <w:r w:rsidR="00825595">
        <w:rPr>
          <w:rFonts w:asciiTheme="majorHAnsi" w:hAnsiTheme="majorHAnsi"/>
          <w:lang w:val="en-GB"/>
        </w:rPr>
        <w:t>use only</w:t>
      </w:r>
      <w:r w:rsidR="00825595" w:rsidRPr="00E676E8">
        <w:rPr>
          <w:rFonts w:asciiTheme="majorHAnsi" w:hAnsiTheme="majorHAnsi"/>
          <w:lang w:val="en-GB"/>
        </w:rPr>
        <w:t xml:space="preserve"> </w:t>
      </w:r>
      <w:r w:rsidRPr="00E676E8">
        <w:rPr>
          <w:rFonts w:asciiTheme="majorHAnsi" w:hAnsiTheme="majorHAnsi"/>
          <w:lang w:val="en-GB"/>
        </w:rPr>
        <w:t>13% and 15% of th</w:t>
      </w:r>
      <w:r w:rsidR="00825595">
        <w:rPr>
          <w:rFonts w:asciiTheme="majorHAnsi" w:hAnsiTheme="majorHAnsi"/>
          <w:lang w:val="en-GB"/>
        </w:rPr>
        <w:t>eir</w:t>
      </w:r>
      <w:r w:rsidRPr="00E676E8">
        <w:rPr>
          <w:rFonts w:asciiTheme="majorHAnsi" w:hAnsiTheme="majorHAnsi"/>
          <w:lang w:val="en-GB"/>
        </w:rPr>
        <w:t xml:space="preserve"> potential to date. With </w:t>
      </w:r>
      <w:r w:rsidR="00724B4A">
        <w:rPr>
          <w:rFonts w:asciiTheme="majorHAnsi" w:hAnsiTheme="majorHAnsi"/>
          <w:lang w:val="en-GB"/>
        </w:rPr>
        <w:t xml:space="preserve">the </w:t>
      </w:r>
      <w:r w:rsidRPr="00E676E8">
        <w:rPr>
          <w:rFonts w:asciiTheme="majorHAnsi" w:hAnsiTheme="majorHAnsi"/>
          <w:lang w:val="en-GB"/>
        </w:rPr>
        <w:t>current 5% exploitation of the technically feasible potential, Tajikistan ha</w:t>
      </w:r>
      <w:r w:rsidR="00724B4A">
        <w:rPr>
          <w:rFonts w:asciiTheme="majorHAnsi" w:hAnsiTheme="majorHAnsi"/>
          <w:lang w:val="en-GB"/>
        </w:rPr>
        <w:t>s</w:t>
      </w:r>
      <w:r w:rsidRPr="00E676E8">
        <w:rPr>
          <w:rFonts w:asciiTheme="majorHAnsi" w:hAnsiTheme="majorHAnsi"/>
          <w:lang w:val="en-GB"/>
        </w:rPr>
        <w:t xml:space="preserve"> tremendous room for expanding hydropower. In Turkmenistan, where the source is least developed with only one hydropower station, the exploitation rate is almost 0%.</w:t>
      </w:r>
    </w:p>
    <w:p w14:paraId="587137D1" w14:textId="77777777" w:rsidR="001163EC" w:rsidRPr="00E676E8" w:rsidRDefault="001163EC" w:rsidP="00A4168C">
      <w:pPr>
        <w:rPr>
          <w:rFonts w:asciiTheme="majorHAnsi" w:hAnsiTheme="majorHAnsi"/>
          <w:lang w:val="en-GB"/>
        </w:rPr>
        <w:sectPr w:rsidR="001163EC" w:rsidRPr="00E676E8" w:rsidSect="00A47FB8">
          <w:type w:val="continuous"/>
          <w:pgSz w:w="11906" w:h="16838"/>
          <w:pgMar w:top="1440" w:right="1080" w:bottom="1440" w:left="1080" w:header="709" w:footer="709" w:gutter="0"/>
          <w:cols w:num="2" w:space="284"/>
          <w:docGrid w:linePitch="360"/>
        </w:sectPr>
      </w:pPr>
    </w:p>
    <w:p w14:paraId="72F3D3FB" w14:textId="77777777" w:rsidR="003D6564" w:rsidRPr="00E676E8" w:rsidRDefault="003D6564" w:rsidP="003D6564">
      <w:pPr>
        <w:pStyle w:val="Heading2"/>
        <w:rPr>
          <w:lang w:val="en-GB"/>
        </w:rPr>
      </w:pPr>
      <w:r w:rsidRPr="00E676E8">
        <w:rPr>
          <w:lang w:val="en-GB"/>
        </w:rPr>
        <w:lastRenderedPageBreak/>
        <w:t>Hydropower potential in Central Asia (in GW)</w:t>
      </w:r>
    </w:p>
    <w:tbl>
      <w:tblPr>
        <w:tblW w:w="98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5"/>
        <w:gridCol w:w="1114"/>
        <w:gridCol w:w="1759"/>
        <w:gridCol w:w="1418"/>
        <w:gridCol w:w="1338"/>
        <w:gridCol w:w="1338"/>
        <w:gridCol w:w="1280"/>
      </w:tblGrid>
      <w:tr w:rsidR="003D6564" w:rsidRPr="00E676E8" w14:paraId="2E2FB2AF" w14:textId="77777777" w:rsidTr="00AB1541">
        <w:trPr>
          <w:trHeight w:val="891"/>
        </w:trPr>
        <w:tc>
          <w:tcPr>
            <w:tcW w:w="159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3EB2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9E58B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Installed capacity (MW)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7C5C9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Target for expansion</w:t>
            </w:r>
          </w:p>
          <w:p w14:paraId="481458AE" w14:textId="08E29C04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(MW)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AF323" w14:textId="3E29B47E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Production in 2016</w:t>
            </w:r>
            <w:r w:rsidR="00117B2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(TWh)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E5D16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Gross theoretical potential (TWh/year)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5C086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Technically exploitable capability (TWh/year)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7C2FA" w14:textId="60FE0C5B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Current util</w:t>
            </w:r>
            <w:r w:rsidR="00F858A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is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ation (%)</w:t>
            </w:r>
          </w:p>
        </w:tc>
      </w:tr>
      <w:tr w:rsidR="003D6564" w:rsidRPr="00E676E8" w14:paraId="0D1FD450" w14:textId="77777777" w:rsidTr="00AB1541">
        <w:trPr>
          <w:trHeight w:val="320"/>
        </w:trPr>
        <w:tc>
          <w:tcPr>
            <w:tcW w:w="15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073" w14:textId="77777777" w:rsidR="003D6564" w:rsidRPr="00E676E8" w:rsidRDefault="003D6564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11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38E" w14:textId="3E7E6554" w:rsidR="003D6564" w:rsidRPr="00E676E8" w:rsidRDefault="003D6564" w:rsidP="00CC7C41">
            <w:pPr>
              <w:spacing w:line="240" w:lineRule="auto"/>
              <w:ind w:right="34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7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817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170 (by 2020)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6B76" w14:textId="77777777" w:rsidR="003D6564" w:rsidRPr="00E676E8" w:rsidRDefault="003D6564" w:rsidP="00CC7C41">
            <w:pPr>
              <w:spacing w:line="240" w:lineRule="auto"/>
              <w:ind w:right="376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6.940</w:t>
            </w:r>
          </w:p>
        </w:tc>
        <w:tc>
          <w:tcPr>
            <w:tcW w:w="13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74A" w14:textId="77777777" w:rsidR="003D6564" w:rsidRPr="00E676E8" w:rsidRDefault="003D6564" w:rsidP="00181047">
            <w:pPr>
              <w:spacing w:line="240" w:lineRule="auto"/>
              <w:ind w:right="155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198.6</w:t>
            </w:r>
          </w:p>
        </w:tc>
        <w:tc>
          <w:tcPr>
            <w:tcW w:w="13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187" w14:textId="77777777" w:rsidR="003D6564" w:rsidRPr="00E676E8" w:rsidRDefault="003D6564" w:rsidP="00181047">
            <w:pPr>
              <w:spacing w:line="240" w:lineRule="auto"/>
              <w:ind w:right="302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61.9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A43E" w14:textId="77777777" w:rsidR="003D6564" w:rsidRPr="00E676E8" w:rsidRDefault="003D6564" w:rsidP="00181047">
            <w:pPr>
              <w:spacing w:line="240" w:lineRule="auto"/>
              <w:ind w:right="22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15%</w:t>
            </w:r>
          </w:p>
        </w:tc>
      </w:tr>
      <w:tr w:rsidR="003D6564" w:rsidRPr="00E676E8" w14:paraId="4D3C0194" w14:textId="77777777" w:rsidTr="00AB1541">
        <w:trPr>
          <w:trHeight w:val="32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939" w14:textId="77777777" w:rsidR="003D6564" w:rsidRPr="00E676E8" w:rsidRDefault="003D6564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01D" w14:textId="12022D45" w:rsidR="003D6564" w:rsidRPr="00E676E8" w:rsidRDefault="003D6564" w:rsidP="00CC7C41">
            <w:pPr>
              <w:spacing w:line="240" w:lineRule="auto"/>
              <w:ind w:right="34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091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590B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178 (by 2025)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A43" w14:textId="77777777" w:rsidR="003D6564" w:rsidRPr="00E676E8" w:rsidRDefault="003D6564" w:rsidP="00CC7C41">
            <w:pPr>
              <w:spacing w:line="240" w:lineRule="auto"/>
              <w:ind w:right="376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13.320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B35" w14:textId="77777777" w:rsidR="003D6564" w:rsidRPr="00E676E8" w:rsidRDefault="003D6564" w:rsidP="00181047">
            <w:pPr>
              <w:spacing w:line="240" w:lineRule="auto"/>
              <w:ind w:right="155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163.0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2F0" w14:textId="77777777" w:rsidR="003D6564" w:rsidRPr="00E676E8" w:rsidRDefault="003D6564" w:rsidP="00181047">
            <w:pPr>
              <w:spacing w:line="240" w:lineRule="auto"/>
              <w:ind w:right="302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99.0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F45B" w14:textId="77777777" w:rsidR="003D6564" w:rsidRPr="00E676E8" w:rsidRDefault="003D6564" w:rsidP="00181047">
            <w:pPr>
              <w:spacing w:line="240" w:lineRule="auto"/>
              <w:ind w:right="22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13%</w:t>
            </w:r>
          </w:p>
        </w:tc>
      </w:tr>
      <w:tr w:rsidR="003D6564" w:rsidRPr="00E676E8" w14:paraId="3EE44DBB" w14:textId="77777777" w:rsidTr="00AB1541">
        <w:trPr>
          <w:trHeight w:val="32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F4A" w14:textId="77777777" w:rsidR="003D6564" w:rsidRPr="00E676E8" w:rsidRDefault="003D6564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929" w14:textId="788F7D2A" w:rsidR="003D6564" w:rsidRPr="00E676E8" w:rsidRDefault="003D6564" w:rsidP="00CC7C41">
            <w:pPr>
              <w:spacing w:line="240" w:lineRule="auto"/>
              <w:ind w:right="34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B56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No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C3C" w14:textId="77777777" w:rsidR="003D6564" w:rsidRPr="00E676E8" w:rsidRDefault="003D6564" w:rsidP="00CC7C41">
            <w:pPr>
              <w:spacing w:line="240" w:lineRule="auto"/>
              <w:ind w:right="376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18.740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30C" w14:textId="77777777" w:rsidR="003D6564" w:rsidRPr="00E676E8" w:rsidRDefault="003D6564" w:rsidP="00181047">
            <w:pPr>
              <w:spacing w:line="240" w:lineRule="auto"/>
              <w:ind w:right="155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527.0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E24" w14:textId="77777777" w:rsidR="003D6564" w:rsidRPr="00E676E8" w:rsidRDefault="003D6564" w:rsidP="00181047">
            <w:pPr>
              <w:spacing w:line="240" w:lineRule="auto"/>
              <w:ind w:right="302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317.0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06A" w14:textId="77777777" w:rsidR="003D6564" w:rsidRPr="00E676E8" w:rsidRDefault="003D6564" w:rsidP="00181047">
            <w:pPr>
              <w:spacing w:line="240" w:lineRule="auto"/>
              <w:ind w:right="22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5%</w:t>
            </w:r>
          </w:p>
        </w:tc>
      </w:tr>
      <w:tr w:rsidR="003D6564" w:rsidRPr="00E676E8" w14:paraId="365475A8" w14:textId="77777777" w:rsidTr="00AB1541">
        <w:trPr>
          <w:trHeight w:val="32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613" w14:textId="77777777" w:rsidR="003D6564" w:rsidRPr="00E676E8" w:rsidRDefault="003D6564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7A41" w14:textId="77777777" w:rsidR="003D6564" w:rsidRPr="00E676E8" w:rsidRDefault="003D6564" w:rsidP="00CC7C41">
            <w:pPr>
              <w:spacing w:line="240" w:lineRule="auto"/>
              <w:ind w:right="34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A46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No 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03E" w14:textId="77777777" w:rsidR="003D6564" w:rsidRPr="00E676E8" w:rsidRDefault="003D6564" w:rsidP="00CC7C41">
            <w:pPr>
              <w:spacing w:line="240" w:lineRule="auto"/>
              <w:ind w:right="376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88EE" w14:textId="77777777" w:rsidR="003D6564" w:rsidRPr="00E676E8" w:rsidRDefault="003D6564" w:rsidP="00181047">
            <w:pPr>
              <w:spacing w:line="240" w:lineRule="auto"/>
              <w:ind w:right="155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D91" w14:textId="77777777" w:rsidR="003D6564" w:rsidRPr="00E676E8" w:rsidRDefault="003D6564" w:rsidP="00181047">
            <w:pPr>
              <w:spacing w:line="240" w:lineRule="auto"/>
              <w:ind w:right="302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E4C" w14:textId="77777777" w:rsidR="003D6564" w:rsidRPr="00E676E8" w:rsidRDefault="003D6564" w:rsidP="00181047">
            <w:pPr>
              <w:spacing w:line="240" w:lineRule="auto"/>
              <w:ind w:right="22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0%</w:t>
            </w:r>
          </w:p>
        </w:tc>
      </w:tr>
      <w:tr w:rsidR="003D6564" w:rsidRPr="00E676E8" w14:paraId="6D2F789E" w14:textId="77777777" w:rsidTr="00AB1541">
        <w:trPr>
          <w:trHeight w:val="32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505" w14:textId="77777777" w:rsidR="003D6564" w:rsidRPr="00E676E8" w:rsidRDefault="003D6564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C98" w14:textId="33C1B0F1" w:rsidR="003D6564" w:rsidRPr="00E676E8" w:rsidRDefault="003D6564" w:rsidP="00CC7C41">
            <w:pPr>
              <w:spacing w:line="240" w:lineRule="auto"/>
              <w:ind w:right="34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61E" w14:textId="77777777" w:rsidR="003D6564" w:rsidRPr="00E676E8" w:rsidRDefault="003D6564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938 (by 2030)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341" w14:textId="77777777" w:rsidR="003D6564" w:rsidRPr="00E676E8" w:rsidRDefault="003D6564" w:rsidP="00CC7C41">
            <w:pPr>
              <w:spacing w:line="240" w:lineRule="auto"/>
              <w:ind w:right="376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10.950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CBD" w14:textId="77777777" w:rsidR="003D6564" w:rsidRPr="00E676E8" w:rsidRDefault="003D6564" w:rsidP="00181047">
            <w:pPr>
              <w:spacing w:line="240" w:lineRule="auto"/>
              <w:ind w:right="155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88.5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403" w14:textId="77777777" w:rsidR="003D6564" w:rsidRPr="00E676E8" w:rsidRDefault="003D6564" w:rsidP="00181047">
            <w:pPr>
              <w:spacing w:line="240" w:lineRule="auto"/>
              <w:ind w:right="302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F727" w14:textId="77777777" w:rsidR="003D6564" w:rsidRPr="00E676E8" w:rsidRDefault="003D6564" w:rsidP="00181047">
            <w:pPr>
              <w:spacing w:line="240" w:lineRule="auto"/>
              <w:ind w:right="22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39%</w:t>
            </w:r>
          </w:p>
        </w:tc>
      </w:tr>
    </w:tbl>
    <w:p w14:paraId="2A93C0E2" w14:textId="77777777" w:rsidR="003D6564" w:rsidRPr="00E676E8" w:rsidRDefault="003D6564" w:rsidP="003D6564">
      <w:pPr>
        <w:rPr>
          <w:rFonts w:asciiTheme="majorHAnsi" w:hAnsiTheme="majorHAnsi"/>
        </w:rPr>
      </w:pPr>
    </w:p>
    <w:p w14:paraId="1CBE690B" w14:textId="4BBD980A" w:rsidR="003D54E3" w:rsidRDefault="003D54E3" w:rsidP="003D54E3">
      <w:pPr>
        <w:pStyle w:val="Heading2"/>
        <w:rPr>
          <w:lang w:val="en-GB"/>
        </w:rPr>
      </w:pPr>
      <w:r w:rsidRPr="00E676E8">
        <w:rPr>
          <w:lang w:val="en-GB"/>
        </w:rPr>
        <w:t xml:space="preserve">Installed </w:t>
      </w:r>
      <w:r w:rsidR="002359AE" w:rsidRPr="00E676E8">
        <w:rPr>
          <w:lang w:val="en-GB"/>
        </w:rPr>
        <w:t>hydro</w:t>
      </w:r>
      <w:r w:rsidRPr="00E676E8">
        <w:rPr>
          <w:lang w:val="en-GB"/>
        </w:rPr>
        <w:t>power projects in Central Asia</w:t>
      </w:r>
    </w:p>
    <w:p w14:paraId="437EA5C7" w14:textId="77777777" w:rsidR="004D2829" w:rsidRPr="004D2829" w:rsidRDefault="004D2829" w:rsidP="004D2829">
      <w:pPr>
        <w:rPr>
          <w:lang w:val="en-GB"/>
        </w:rPr>
      </w:pPr>
    </w:p>
    <w:p w14:paraId="6D3CB845" w14:textId="4A4538B6" w:rsidR="003D54E3" w:rsidRPr="00E676E8" w:rsidRDefault="003D54E3" w:rsidP="002C5607">
      <w:pPr>
        <w:jc w:val="center"/>
        <w:rPr>
          <w:rFonts w:asciiTheme="majorHAnsi" w:hAnsiTheme="majorHAnsi"/>
          <w:b/>
        </w:rPr>
      </w:pPr>
      <w:r w:rsidRPr="00E676E8">
        <w:rPr>
          <w:rFonts w:asciiTheme="majorHAnsi" w:hAnsiTheme="majorHAnsi"/>
          <w:b/>
        </w:rPr>
        <w:t>Kazakhstan</w:t>
      </w:r>
    </w:p>
    <w:tbl>
      <w:tblPr>
        <w:tblW w:w="8794" w:type="dxa"/>
        <w:tblInd w:w="93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035"/>
        <w:gridCol w:w="1096"/>
        <w:gridCol w:w="908"/>
        <w:gridCol w:w="2380"/>
      </w:tblGrid>
      <w:tr w:rsidR="0052762B" w:rsidRPr="00E676E8" w14:paraId="28B7D6C5" w14:textId="77777777" w:rsidTr="00AB1541">
        <w:trPr>
          <w:trHeight w:val="300"/>
        </w:trPr>
        <w:tc>
          <w:tcPr>
            <w:tcW w:w="23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6FB57F1" w14:textId="419A7047" w:rsidR="0052762B" w:rsidRPr="00E676E8" w:rsidRDefault="0052762B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69A460" w14:textId="5CD23187" w:rsidR="0052762B" w:rsidRPr="00E676E8" w:rsidRDefault="0052762B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0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6D3B8F5" w14:textId="06C2EACD" w:rsidR="0052762B" w:rsidRPr="00E676E8" w:rsidRDefault="0052762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Capacity</w:t>
            </w:r>
          </w:p>
        </w:tc>
        <w:tc>
          <w:tcPr>
            <w:tcW w:w="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6B9726" w14:textId="7EB67D61" w:rsidR="0052762B" w:rsidRPr="00E676E8" w:rsidRDefault="0052762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192684B" w14:textId="39F4FA4F" w:rsidR="0052762B" w:rsidRPr="00E676E8" w:rsidRDefault="0052762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</w:tr>
      <w:tr w:rsidR="0052762B" w:rsidRPr="00E676E8" w14:paraId="4AFBE714" w14:textId="77777777" w:rsidTr="00472542">
        <w:trPr>
          <w:trHeight w:val="300"/>
        </w:trPr>
        <w:tc>
          <w:tcPr>
            <w:tcW w:w="2375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0FD4E8F" w14:textId="5F3C98F8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Almaty Cascade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: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10 stations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plus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one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under the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nstitute of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nnovation and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nergy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0BB7E64" w14:textId="71FD77A8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Almaty oblast,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olshaya and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alaya Almatinka rivers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3ECB63F" w14:textId="42173504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46.9 MW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  <w:noWrap/>
          </w:tcPr>
          <w:p w14:paraId="7B184249" w14:textId="0196479D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CB3DB95" w14:textId="7FDC4D9D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Samruk Energo </w:t>
            </w:r>
          </w:p>
        </w:tc>
      </w:tr>
      <w:tr w:rsidR="0052762B" w:rsidRPr="00E676E8" w14:paraId="1B786054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2FB70F05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Shulbinskaya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1CC80949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Irtysh river, East Kazakhstan oblast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41190086" w14:textId="5054CA9C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702</w:t>
            </w:r>
            <w:r w:rsidR="0047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.0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735E7B2" w14:textId="23E4519B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1987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6A06A1C1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Samruk Energo </w:t>
            </w:r>
          </w:p>
        </w:tc>
      </w:tr>
      <w:tr w:rsidR="0052762B" w:rsidRPr="00E676E8" w14:paraId="44CE5ED3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7414299D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Bukhtarminskaya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448D6798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Irtysh river, East Kazakhstan oblast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7FCBF9EC" w14:textId="4087C5D9" w:rsidR="0052762B" w:rsidRPr="00E676E8" w:rsidRDefault="00472542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675. 0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F3FCC6B" w14:textId="091B7E9B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1960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1966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D91FE1C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Samruk Energo </w:t>
            </w:r>
          </w:p>
        </w:tc>
      </w:tr>
      <w:tr w:rsidR="0052762B" w:rsidRPr="00E676E8" w14:paraId="3D06D4F4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3C1898A6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Kapshagayskaya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16A4E389" w14:textId="6ACD6245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Ili river, Almaty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4EB9C055" w14:textId="33BDDB9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364</w:t>
            </w:r>
            <w:r w:rsidR="0047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.0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714543F" w14:textId="643FD3E5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1970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1980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71F0C6C8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Samruk Energo </w:t>
            </w:r>
          </w:p>
        </w:tc>
      </w:tr>
      <w:tr w:rsidR="0052762B" w:rsidRPr="00E676E8" w14:paraId="034838A8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4A245681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Ust-Kamenogorsk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6F175FBD" w14:textId="72183E5A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East Kazakhstan </w:t>
            </w:r>
            <w:r w:rsidR="0018252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 Irtysh river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6EC0BD6F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355.6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3303B30" w14:textId="320709A2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1952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1959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C5BA7FC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Samruk Energo </w:t>
            </w:r>
          </w:p>
        </w:tc>
      </w:tr>
      <w:tr w:rsidR="0052762B" w:rsidRPr="00AB1541" w14:paraId="3BDC2611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04B22ACD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Moynak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42209C91" w14:textId="25DDC4A0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Charyn river Almaty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782349F1" w14:textId="159E0DD2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300</w:t>
            </w:r>
            <w:r w:rsidR="0047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.0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CD8AD51" w14:textId="7DA7368C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2011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1F7DE58D" w14:textId="1FDB372D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Samruk Energo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 l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oan from China Exim bank</w:t>
            </w:r>
          </w:p>
        </w:tc>
      </w:tr>
      <w:tr w:rsidR="0052762B" w:rsidRPr="00E676E8" w14:paraId="15F44974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07AD3DD6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Shardarinskaya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1C29DE30" w14:textId="3F19D721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Syrdariya river, South Kazakhstan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D3D87B2" w14:textId="080F1C51" w:rsidR="0052762B" w:rsidRPr="00E676E8" w:rsidRDefault="00472542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100.0 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C8B6A3E" w14:textId="77777777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1967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B77974D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Samruk Energo </w:t>
            </w:r>
          </w:p>
        </w:tc>
      </w:tr>
      <w:tr w:rsidR="0052762B" w:rsidRPr="00E676E8" w14:paraId="47D87425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57B2B0DE" w14:textId="347C72B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LLP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Kaynar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AKB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GES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Uspenovskaya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7D382AA8" w14:textId="503F05A0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Tentek river, Alm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ty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6EC97274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2.5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138BD0F" w14:textId="77777777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38B9B819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National Company KEGOC (Public)</w:t>
            </w:r>
          </w:p>
        </w:tc>
      </w:tr>
      <w:tr w:rsidR="0052762B" w:rsidRPr="00E676E8" w14:paraId="61147FD3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55EC79D8" w14:textId="557790B1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LLP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Kaynar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AKB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GES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Antonovskaya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6C0B3B78" w14:textId="695A079F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Lepsy river Almaty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5F548EF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1.6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DFBA050" w14:textId="77777777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1960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2941EC57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National Company KEGOC (Public)</w:t>
            </w:r>
          </w:p>
        </w:tc>
      </w:tr>
      <w:tr w:rsidR="0052762B" w:rsidRPr="00E676E8" w14:paraId="32687933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6A78A0A9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Zaisanskaya HPS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30B85986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Yidene river, East Kazakhstan Oblast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2B4F3343" w14:textId="46BE06A6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2 </w:t>
            </w:r>
            <w:r w:rsidR="0047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.0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86E530E" w14:textId="77777777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No data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5B74FF06" w14:textId="7777777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Samruk Energo</w:t>
            </w:r>
          </w:p>
        </w:tc>
      </w:tr>
      <w:tr w:rsidR="0052762B" w:rsidRPr="00AB1541" w14:paraId="17A2AB8D" w14:textId="77777777" w:rsidTr="00472542">
        <w:trPr>
          <w:trHeight w:val="300"/>
        </w:trPr>
        <w:tc>
          <w:tcPr>
            <w:tcW w:w="2375" w:type="dxa"/>
            <w:shd w:val="clear" w:color="auto" w:fill="auto"/>
            <w:noWrap/>
            <w:hideMark/>
          </w:tcPr>
          <w:p w14:paraId="6CFE6235" w14:textId="20249B04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Aksu HPS-1 JSC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8252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TATEK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760A6C6F" w14:textId="76CFF6A0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Aksu river, Almaty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8EECECC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1.9 MW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C800DF3" w14:textId="3F79749C" w:rsidR="0052762B" w:rsidRPr="00E676E8" w:rsidRDefault="0052762B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No data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14:paraId="67A3F2B3" w14:textId="560F3117" w:rsidR="0052762B" w:rsidRPr="00E676E8" w:rsidRDefault="0052762B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Public JSC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8252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TATEK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is a national company</w:t>
            </w:r>
          </w:p>
        </w:tc>
      </w:tr>
    </w:tbl>
    <w:p w14:paraId="2B97DB35" w14:textId="77777777" w:rsidR="0052762B" w:rsidRPr="00E676E8" w:rsidRDefault="0052762B" w:rsidP="003D54E3">
      <w:pPr>
        <w:rPr>
          <w:rFonts w:asciiTheme="majorHAnsi" w:hAnsiTheme="majorHAnsi"/>
          <w:sz w:val="18"/>
          <w:szCs w:val="18"/>
          <w:lang w:val="en-US"/>
        </w:rPr>
      </w:pPr>
    </w:p>
    <w:p w14:paraId="1C3551A8" w14:textId="355664E1" w:rsidR="00DE4144" w:rsidRPr="00E676E8" w:rsidRDefault="002C5607" w:rsidP="000C3061">
      <w:pPr>
        <w:jc w:val="center"/>
        <w:rPr>
          <w:rFonts w:asciiTheme="majorHAnsi" w:hAnsiTheme="majorHAnsi"/>
          <w:b/>
          <w:szCs w:val="18"/>
          <w:lang w:val="en-US"/>
        </w:rPr>
      </w:pPr>
      <w:r w:rsidRPr="00E676E8">
        <w:rPr>
          <w:rFonts w:asciiTheme="majorHAnsi" w:hAnsiTheme="majorHAnsi"/>
          <w:b/>
          <w:szCs w:val="18"/>
          <w:lang w:val="en-US"/>
        </w:rPr>
        <w:t>Kyrgyzstan</w:t>
      </w:r>
    </w:p>
    <w:tbl>
      <w:tblPr>
        <w:tblW w:w="9475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134"/>
        <w:gridCol w:w="922"/>
        <w:gridCol w:w="615"/>
        <w:gridCol w:w="5006"/>
      </w:tblGrid>
      <w:tr w:rsidR="00092B1E" w:rsidRPr="00E676E8" w14:paraId="0F26F6F2" w14:textId="77777777" w:rsidTr="00AB1541">
        <w:trPr>
          <w:trHeight w:val="320"/>
        </w:trPr>
        <w:tc>
          <w:tcPr>
            <w:tcW w:w="2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2F053A7" w14:textId="0CB2D523" w:rsidR="00092B1E" w:rsidRPr="00E676E8" w:rsidRDefault="00092B1E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8C60482" w14:textId="43A76240" w:rsidR="00092B1E" w:rsidRPr="00E676E8" w:rsidRDefault="00092B1E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FA7DD12" w14:textId="0771167B" w:rsidR="00092B1E" w:rsidRPr="00E676E8" w:rsidRDefault="00092B1E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Capacity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5D8E052" w14:textId="18782F5F" w:rsidR="00092B1E" w:rsidRPr="00E676E8" w:rsidRDefault="00092B1E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Year</w:t>
            </w:r>
          </w:p>
        </w:tc>
        <w:tc>
          <w:tcPr>
            <w:tcW w:w="50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C22691B" w14:textId="55BE1C50" w:rsidR="00092B1E" w:rsidRPr="00E676E8" w:rsidRDefault="00092B1E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</w:tr>
      <w:tr w:rsidR="00092B1E" w:rsidRPr="00AB1541" w14:paraId="700F7BB5" w14:textId="77777777" w:rsidTr="009D35E0">
        <w:trPr>
          <w:trHeight w:val="320"/>
        </w:trPr>
        <w:tc>
          <w:tcPr>
            <w:tcW w:w="200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E43771A" w14:textId="68A42648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Alamedin small hydropower station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</w:tcPr>
          <w:p w14:paraId="1D3CDDBD" w14:textId="7C5D7896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43136577" w14:textId="55A2362E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 MW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noWrap/>
          </w:tcPr>
          <w:p w14:paraId="5A285CD9" w14:textId="68D1B79D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1928</w:t>
            </w:r>
          </w:p>
        </w:tc>
        <w:tc>
          <w:tcPr>
            <w:tcW w:w="5006" w:type="dxa"/>
            <w:tcBorders>
              <w:top w:val="double" w:sz="4" w:space="0" w:color="auto"/>
            </w:tcBorders>
            <w:shd w:val="clear" w:color="auto" w:fill="auto"/>
            <w:noWrap/>
          </w:tcPr>
          <w:p w14:paraId="597EC9C5" w14:textId="04EA952E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Chakan Hydroelectric 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2B7CF3BA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64DC55FD" w14:textId="2E9134D2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Alamedin small hydropower station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DBADF6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DADBB84" w14:textId="26BF6A47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1CFF8841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1945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121ADC2A" w14:textId="072D7640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62711757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739EF072" w14:textId="77D56E2E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Alamedin small hydropower station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7B495D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BBA49AE" w14:textId="3F91A083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4A96A55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1948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02611BB8" w14:textId="1F96C008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03DD47B6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279958F9" w14:textId="5F4092B5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Alamedin small hydropower station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F7164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1FA3F9" w14:textId="12F92FC7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2E26809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1951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72BE26A4" w14:textId="6C45A55C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10FD21EF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5B14B468" w14:textId="251F69AD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Alamedin small hydropower station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59E8D3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845C7D6" w14:textId="370CD6BD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381026C6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1952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5EAC3F16" w14:textId="0511B996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4E8C289B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5A0B99BA" w14:textId="7ACC2183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Alamedin small hydropower station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154E7D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E70C3AF" w14:textId="73F0F3AF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7100C34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1957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3DB11C01" w14:textId="57D614F8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11D9E21E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71FE9EC4" w14:textId="7B60F5AD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Alamedin small hydropower station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1DCAF3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FFAEF6" w14:textId="0336FDD1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8E7CF4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1958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2008EF87" w14:textId="0F0E1A1B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6FF4EB76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6EC444BB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lastRenderedPageBreak/>
              <w:t>Bystrov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8D9DBC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5E93367" w14:textId="657A2F55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E65C4DD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1954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213E594F" w14:textId="6933B0D2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AB1541" w14:paraId="45020B94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21F9FDD0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Lebedinov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8AD66E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F50E078" w14:textId="332E7FF2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CC069BB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1943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5CA51ACD" w14:textId="469DAD90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(JSC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Chakan Hydroelectric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Power Station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92B1E" w:rsidRPr="00E676E8" w14:paraId="338BE386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7A831630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Kalinin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F71F15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7034FB" w14:textId="0ACD7B34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7BAD5E8A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1953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4510E0C6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</w:t>
            </w:r>
          </w:p>
        </w:tc>
      </w:tr>
      <w:tr w:rsidR="00092B1E" w:rsidRPr="00E676E8" w14:paraId="2AA3D7A2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18A44C1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Ysyk-Ata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08FCD4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D83A5D" w14:textId="6F798B6C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4B43EA9C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1960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078C40E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</w:t>
            </w:r>
          </w:p>
        </w:tc>
      </w:tr>
      <w:tr w:rsidR="00092B1E" w:rsidRPr="00E676E8" w14:paraId="483A6B9D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6A942E47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Naiman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C03E1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Osh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71C0D6B" w14:textId="3F93DDE2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A3B99C2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0B86AA28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</w:t>
            </w:r>
          </w:p>
        </w:tc>
      </w:tr>
      <w:tr w:rsidR="00092B1E" w:rsidRPr="00E676E8" w14:paraId="3BBFEB24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043F50E3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Maryam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0EC8B2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35F8EE" w14:textId="648BF897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79B9900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57498D55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</w:t>
            </w:r>
          </w:p>
        </w:tc>
      </w:tr>
      <w:tr w:rsidR="00092B1E" w:rsidRPr="00E676E8" w14:paraId="5C9689BF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4CACA82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KSK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BCE054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Osh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6F6B468" w14:textId="0C3B5BCB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1.0 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2173D4F9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73BE0A1A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</w:t>
            </w:r>
          </w:p>
        </w:tc>
      </w:tr>
      <w:tr w:rsidR="00092B1E" w:rsidRPr="00E676E8" w14:paraId="04A66EB1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162F396F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Kyrgyz-Ata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BB1105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Osh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F88C16A" w14:textId="35678CBF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5C70B5C1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6AF99A6E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Self-financing </w:t>
            </w:r>
          </w:p>
        </w:tc>
      </w:tr>
      <w:tr w:rsidR="00092B1E" w:rsidRPr="004C2768" w14:paraId="025E51A7" w14:textId="77777777" w:rsidTr="009D35E0">
        <w:trPr>
          <w:trHeight w:val="320"/>
        </w:trPr>
        <w:tc>
          <w:tcPr>
            <w:tcW w:w="2000" w:type="dxa"/>
            <w:shd w:val="clear" w:color="auto" w:fill="auto"/>
            <w:noWrap/>
            <w:hideMark/>
          </w:tcPr>
          <w:p w14:paraId="7FF1322C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Tegirmentinskyi small hydropower station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1EB2D3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Chui oblast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BBF37C6" w14:textId="7435D5B7" w:rsidR="00092B1E" w:rsidRPr="00E676E8" w:rsidRDefault="00472542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</w:t>
            </w:r>
            <w:r w:rsidR="00092B1E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 MW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14:paraId="61CB68B7" w14:textId="77777777" w:rsidR="00092B1E" w:rsidRPr="00E676E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006" w:type="dxa"/>
            <w:shd w:val="clear" w:color="auto" w:fill="auto"/>
            <w:noWrap/>
            <w:hideMark/>
          </w:tcPr>
          <w:p w14:paraId="537D20C0" w14:textId="4A3CE7DA" w:rsidR="00092B1E" w:rsidRPr="004C2768" w:rsidRDefault="00092B1E" w:rsidP="00092B1E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Russian-Kyrgyz Development Fund 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144 mln.</w:t>
            </w:r>
            <w:r w:rsidR="002848B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2848B7"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Kyrgyz Som</w:t>
            </w:r>
            <w:r w:rsidR="004C2768"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(KGS)</w:t>
            </w:r>
            <w:r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; </w:t>
            </w:r>
            <w:r w:rsid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Tegirmentinskii hydropower station</w:t>
            </w:r>
            <w:r w:rsidR="00430998"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  <w:r w:rsid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 LLC</w:t>
            </w:r>
            <w:r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B560D9"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71,6 mln</w:t>
            </w:r>
            <w:r w:rsidR="00B560D9"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4C2768" w:rsidRPr="004C276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KGS</w:t>
            </w:r>
          </w:p>
        </w:tc>
      </w:tr>
    </w:tbl>
    <w:p w14:paraId="136CB08C" w14:textId="77777777" w:rsidR="004D2829" w:rsidRPr="004C2768" w:rsidRDefault="004D2829" w:rsidP="000A11F4">
      <w:pPr>
        <w:rPr>
          <w:rFonts w:asciiTheme="majorHAnsi" w:hAnsiTheme="majorHAnsi"/>
          <w:sz w:val="18"/>
          <w:szCs w:val="18"/>
          <w:lang w:val="en-US"/>
        </w:rPr>
      </w:pPr>
    </w:p>
    <w:p w14:paraId="52E1990A" w14:textId="0BB0DC31" w:rsidR="000C3061" w:rsidRPr="00E676E8" w:rsidRDefault="000C3061" w:rsidP="005005E1">
      <w:pPr>
        <w:jc w:val="center"/>
        <w:rPr>
          <w:rFonts w:asciiTheme="majorHAnsi" w:hAnsiTheme="majorHAnsi"/>
          <w:b/>
          <w:szCs w:val="18"/>
          <w:lang w:val="en-US"/>
        </w:rPr>
      </w:pPr>
      <w:r w:rsidRPr="00E676E8">
        <w:rPr>
          <w:rFonts w:asciiTheme="majorHAnsi" w:hAnsiTheme="majorHAnsi"/>
          <w:b/>
          <w:szCs w:val="18"/>
          <w:lang w:val="en-US"/>
        </w:rPr>
        <w:t>Tajikistan</w:t>
      </w:r>
    </w:p>
    <w:tbl>
      <w:tblPr>
        <w:tblW w:w="8670" w:type="dxa"/>
        <w:tblInd w:w="93" w:type="dxa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3682"/>
        <w:gridCol w:w="1247"/>
        <w:gridCol w:w="1247"/>
        <w:gridCol w:w="1247"/>
        <w:gridCol w:w="1247"/>
      </w:tblGrid>
      <w:tr w:rsidR="0052762B" w:rsidRPr="00E676E8" w14:paraId="33E70E5A" w14:textId="77777777" w:rsidTr="00AB1541">
        <w:tc>
          <w:tcPr>
            <w:tcW w:w="368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6D586B" w14:textId="77777777" w:rsidR="0052762B" w:rsidRPr="00E676E8" w:rsidRDefault="0052762B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Regions</w:t>
            </w:r>
          </w:p>
        </w:tc>
        <w:tc>
          <w:tcPr>
            <w:tcW w:w="124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E5E101" w14:textId="642E9504" w:rsidR="0052762B" w:rsidRPr="00E676E8" w:rsidRDefault="00C75EDC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Total 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capacity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(M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W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F5CA6E" w14:textId="23D5983D" w:rsidR="0052762B" w:rsidRPr="00E676E8" w:rsidRDefault="00D14777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Functioning c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apacity 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(M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W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E639EC6" w14:textId="42805F30" w:rsidR="0052762B" w:rsidRPr="00E676E8" w:rsidRDefault="00A00EE0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Electricity generation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kWh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CEF058" w14:textId="52442D46" w:rsidR="0052762B" w:rsidRPr="00E676E8" w:rsidRDefault="0052762B" w:rsidP="00AB1541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Not f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unctioning capacity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kW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2762B" w:rsidRPr="00E676E8" w14:paraId="3DE783E0" w14:textId="77777777" w:rsidTr="00C75EDC">
        <w:tc>
          <w:tcPr>
            <w:tcW w:w="36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21E56E1" w14:textId="5120E206" w:rsidR="0052762B" w:rsidRPr="00E676E8" w:rsidRDefault="00A00EE0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 xml:space="preserve">Total in </w:t>
            </w:r>
            <w:r w:rsidR="0052762B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Tajikistan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 xml:space="preserve"> (155 units)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7DAD2" w14:textId="5D6BB3AC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12</w:t>
            </w:r>
            <w:r w:rsidR="00A00EE0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.2 MW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925F09" w14:textId="6B30CDC3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 w:rsidR="00A00EE0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.7 MW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54D7AE" w14:textId="045FF9BA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 w:rsidR="00B560D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328</w:t>
            </w:r>
            <w:r w:rsidR="00B560D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E2E7E9" w14:textId="5F3ED8ED" w:rsidR="00A00EE0" w:rsidRPr="00E676E8" w:rsidRDefault="0052762B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7</w:t>
            </w:r>
            <w:r w:rsidR="00A00EE0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.5 MW</w:t>
            </w:r>
          </w:p>
        </w:tc>
      </w:tr>
      <w:tr w:rsidR="00C75EDC" w:rsidRPr="00E676E8" w14:paraId="50C1A454" w14:textId="77777777" w:rsidTr="00C75EDC">
        <w:tc>
          <w:tcPr>
            <w:tcW w:w="36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24B594" w14:textId="451592A0" w:rsidR="00C75EDC" w:rsidRPr="00E676E8" w:rsidRDefault="00C75EDC" w:rsidP="00A00EE0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val="en-US"/>
              </w:rPr>
              <w:t>Breakdown by regions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56E202" w14:textId="77777777" w:rsidR="00C75EDC" w:rsidRPr="00E676E8" w:rsidRDefault="00C75EDC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292823" w14:textId="77777777" w:rsidR="00C75EDC" w:rsidRPr="00E676E8" w:rsidRDefault="00C75EDC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F5B682" w14:textId="77777777" w:rsidR="00C75EDC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67735E" w14:textId="77777777" w:rsidR="00C75EDC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52762B" w:rsidRPr="00E676E8" w14:paraId="23936D2B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75BB04FC" w14:textId="46A77AFC" w:rsidR="0052762B" w:rsidRPr="00E676E8" w:rsidRDefault="0052762B" w:rsidP="00A00EE0">
            <w:pPr>
              <w:spacing w:line="240" w:lineRule="auto"/>
              <w:ind w:left="333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GBAO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(35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2BB24DF" w14:textId="1CC9737B" w:rsidR="0052762B" w:rsidRPr="00E676E8" w:rsidRDefault="00A00EE0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0823317" w14:textId="30BF8131" w:rsidR="0052762B" w:rsidRPr="00E676E8" w:rsidRDefault="00A00EE0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DEEB60D" w14:textId="70FBF6E3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497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9CAC925" w14:textId="3D4DF054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</w:tr>
      <w:tr w:rsidR="0052762B" w:rsidRPr="00E676E8" w14:paraId="6166ADC5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69CFC8CF" w14:textId="22260258" w:rsidR="0052762B" w:rsidRPr="00E676E8" w:rsidRDefault="0052762B" w:rsidP="00A00EE0">
            <w:pPr>
              <w:spacing w:line="240" w:lineRule="auto"/>
              <w:ind w:left="333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Khatlon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(8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357A442" w14:textId="2F81144C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.2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44569DE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5FB4715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3E2DDDF" w14:textId="0CB5A8EC" w:rsidR="0052762B" w:rsidRPr="00E676E8" w:rsidRDefault="00A00EE0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2.2 MW</w:t>
            </w:r>
          </w:p>
        </w:tc>
      </w:tr>
      <w:tr w:rsidR="0052762B" w:rsidRPr="00E676E8" w14:paraId="0548073E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3B253EDA" w14:textId="301E213B" w:rsidR="0052762B" w:rsidRPr="00E676E8" w:rsidRDefault="0052762B" w:rsidP="00A00EE0">
            <w:pPr>
              <w:spacing w:line="240" w:lineRule="auto"/>
              <w:ind w:left="333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Sog’d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(38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EE8F455" w14:textId="2071576A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.9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9F23120" w14:textId="7F465AC0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B538713" w14:textId="0D3B43A6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460</w:t>
            </w:r>
            <w:r w:rsidR="00B560D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E718D57" w14:textId="048357FA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</w:tr>
      <w:tr w:rsidR="0052762B" w:rsidRPr="00E676E8" w14:paraId="564403AA" w14:textId="77777777" w:rsidTr="00C75EDC"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4A97B0" w14:textId="1C224203" w:rsidR="0052762B" w:rsidRPr="00E676E8" w:rsidRDefault="0052762B" w:rsidP="00A00EE0">
            <w:pPr>
              <w:spacing w:line="240" w:lineRule="auto"/>
              <w:ind w:left="333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Regions </w:t>
            </w:r>
            <w:r w:rsidR="00A00EE0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(74 units)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A9FD53" w14:textId="30C3E041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 w:rsidR="00A00EE0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.7 MW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683071" w14:textId="2D1172C9" w:rsidR="0052762B" w:rsidRPr="00E676E8" w:rsidRDefault="00A00EE0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3.0 MW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175058" w14:textId="3005E546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  <w:r w:rsidR="00B560D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370</w:t>
            </w:r>
            <w:r w:rsidR="00B560D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720C05" w14:textId="1CEF8316" w:rsidR="0052762B" w:rsidRPr="00E676E8" w:rsidRDefault="0052762B" w:rsidP="00A00EE0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  <w:r w:rsidR="00A00EE0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7</w:t>
            </w:r>
            <w:r w:rsidR="00A00EE0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</w:tr>
      <w:tr w:rsidR="0052762B" w:rsidRPr="00E676E8" w14:paraId="3C2FB195" w14:textId="77777777" w:rsidTr="00C75EDC">
        <w:tc>
          <w:tcPr>
            <w:tcW w:w="36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4D87AC" w14:textId="2ABAA857" w:rsidR="0052762B" w:rsidRPr="00E676E8" w:rsidRDefault="00C75EDC" w:rsidP="0052762B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val="en-US"/>
              </w:rPr>
              <w:t>Breakdown within the</w:t>
            </w:r>
            <w:r w:rsidR="0052762B" w:rsidRPr="00E676E8">
              <w:rPr>
                <w:rFonts w:asciiTheme="majorHAnsi" w:eastAsia="Times New Roman" w:hAnsiTheme="majorHAnsi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region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5A8F13" w14:textId="77777777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762B" w:rsidRPr="00E676E8" w14:paraId="3DA93034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0CBC6744" w14:textId="4A4EE16C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Nurobod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(9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2D24FC8" w14:textId="7BFF23F5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94B6859" w14:textId="4651C58B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CEEFD1D" w14:textId="2DF576CE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23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771391F" w14:textId="269CF0FF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</w:tr>
      <w:tr w:rsidR="0052762B" w:rsidRPr="00E676E8" w14:paraId="74F936C0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1EAB21D8" w14:textId="6DD632B0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Vahdat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(24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63E24FA" w14:textId="6589F9C7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1.7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91D4591" w14:textId="4122DDCD" w:rsidR="0052762B" w:rsidRPr="00E676E8" w:rsidRDefault="0052762B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.1 MW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3028EBD" w14:textId="3CDB83F2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468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42AB1F2" w14:textId="365F7998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 MW</w:t>
            </w:r>
          </w:p>
        </w:tc>
      </w:tr>
      <w:tr w:rsidR="0052762B" w:rsidRPr="00E676E8" w14:paraId="56EF59E6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17B6598A" w14:textId="07C89443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Tavildara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(8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995CB4A" w14:textId="0C725698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2A4ACA7" w14:textId="754E0B83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280432E" w14:textId="4C619CDA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59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024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D9E249D" w14:textId="4E1CA3DE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762B" w:rsidRPr="00E676E8" w14:paraId="5B5D3A84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3758B59B" w14:textId="3BC74F32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Varzob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(8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13BC81C" w14:textId="5D7060B0" w:rsidR="0052762B" w:rsidRPr="00E676E8" w:rsidRDefault="0052762B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.0 MW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D78BAFB" w14:textId="05E0A47E" w:rsidR="0052762B" w:rsidRPr="00E676E8" w:rsidRDefault="0052762B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BA9FCBC" w14:textId="57CB2B0A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599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3519210" w14:textId="16133BC2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762B" w:rsidRPr="00E676E8" w14:paraId="1D2D2A3A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229AB777" w14:textId="7AE84DFA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Djirgital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(7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247D1E15" w14:textId="03650596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EF7DAE7" w14:textId="1A600E25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595B080" w14:textId="283F024A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99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AA0FD95" w14:textId="03BB0BCB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</w:tr>
      <w:tr w:rsidR="0052762B" w:rsidRPr="00E676E8" w14:paraId="4690BC05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68B9B887" w14:textId="5593F41A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Gissar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(3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7E8FB7E" w14:textId="63A342A9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0.2 MW 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004F28F" w14:textId="6886DCBD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8DA0CFF" w14:textId="14479AB1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82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026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031838E" w14:textId="18CF2624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762B" w:rsidRPr="00E676E8" w14:paraId="6652B94E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3989F910" w14:textId="5C0268AF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Shahrinav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(1 unit)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D24AE34" w14:textId="173508DC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33C0777" w14:textId="68A19FE9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30F71C66" w14:textId="1B808C22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309496E" w14:textId="0B095FBE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</w:tr>
      <w:tr w:rsidR="0052762B" w:rsidRPr="00E676E8" w14:paraId="1AF6713A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0E9BD5F5" w14:textId="6376F0AF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Tursunzoda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(1 unit)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B6BCBB5" w14:textId="5AA3A319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1729EF8" w14:textId="52B4EEB7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5495D1E" w14:textId="0236CD42" w:rsidR="0052762B" w:rsidRPr="00E676E8" w:rsidRDefault="00C75EDC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A863D9C" w14:textId="1F7F743E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</w:tr>
      <w:tr w:rsidR="0052762B" w:rsidRPr="00E676E8" w14:paraId="11A18C62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7B627297" w14:textId="779B3CD2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Tajikobad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(6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0AD317B9" w14:textId="2E9E1D02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F41DA43" w14:textId="450A1A7D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7C5F362B" w14:textId="1A06288F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6BAE1D29" w14:textId="76C30441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</w:tr>
      <w:tr w:rsidR="0052762B" w:rsidRPr="00E676E8" w14:paraId="0EFAD617" w14:textId="77777777" w:rsidTr="0052762B">
        <w:tc>
          <w:tcPr>
            <w:tcW w:w="3682" w:type="dxa"/>
            <w:shd w:val="clear" w:color="auto" w:fill="auto"/>
            <w:noWrap/>
            <w:hideMark/>
          </w:tcPr>
          <w:p w14:paraId="7D934106" w14:textId="3287199D" w:rsidR="0052762B" w:rsidRPr="00E676E8" w:rsidRDefault="0052762B" w:rsidP="00C75EDC">
            <w:pPr>
              <w:spacing w:line="240" w:lineRule="auto"/>
              <w:ind w:left="758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  <w:r w:rsidR="00C75EDC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(11 units)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5327094" w14:textId="01250496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4B1598BC" w14:textId="5FF12034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0.1MW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16913C44" w14:textId="794EA886" w:rsidR="0052762B" w:rsidRPr="00E676E8" w:rsidRDefault="0052762B" w:rsidP="0047254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14:paraId="5CC1B99E" w14:textId="28CA6E68" w:rsidR="0052762B" w:rsidRPr="00E676E8" w:rsidRDefault="00C75EDC" w:rsidP="00C75ED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52762B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</w:tr>
    </w:tbl>
    <w:p w14:paraId="0ADB39DD" w14:textId="77777777" w:rsidR="004D2829" w:rsidRDefault="004D2829" w:rsidP="00835294">
      <w:pPr>
        <w:jc w:val="center"/>
        <w:rPr>
          <w:rFonts w:asciiTheme="majorHAnsi" w:hAnsiTheme="majorHAnsi"/>
          <w:b/>
          <w:szCs w:val="20"/>
          <w:lang w:val="en-US"/>
        </w:rPr>
      </w:pPr>
    </w:p>
    <w:p w14:paraId="6AF19E61" w14:textId="2DC4BB9E" w:rsidR="00835294" w:rsidRPr="00E676E8" w:rsidRDefault="00835294" w:rsidP="00835294">
      <w:pPr>
        <w:jc w:val="center"/>
        <w:rPr>
          <w:rFonts w:asciiTheme="majorHAnsi" w:hAnsiTheme="majorHAnsi"/>
          <w:b/>
          <w:szCs w:val="20"/>
          <w:lang w:val="en-US"/>
        </w:rPr>
      </w:pPr>
      <w:r w:rsidRPr="00E676E8">
        <w:rPr>
          <w:rFonts w:asciiTheme="majorHAnsi" w:hAnsiTheme="majorHAnsi"/>
          <w:b/>
          <w:szCs w:val="20"/>
          <w:lang w:val="en-US"/>
        </w:rPr>
        <w:t>Turkmenistan</w:t>
      </w:r>
    </w:p>
    <w:tbl>
      <w:tblPr>
        <w:tblW w:w="8944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701"/>
        <w:gridCol w:w="1593"/>
        <w:gridCol w:w="2551"/>
      </w:tblGrid>
      <w:tr w:rsidR="00547EF1" w:rsidRPr="00E676E8" w14:paraId="08CAE0C4" w14:textId="77777777" w:rsidTr="00AB1541">
        <w:trPr>
          <w:trHeight w:val="320"/>
        </w:trPr>
        <w:tc>
          <w:tcPr>
            <w:tcW w:w="30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5D6BB81" w14:textId="77777777" w:rsidR="00547EF1" w:rsidRPr="00E676E8" w:rsidRDefault="00547EF1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9E3FA69" w14:textId="77777777" w:rsidR="00547EF1" w:rsidRPr="00E676E8" w:rsidRDefault="00547EF1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Capacity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A0A70F9" w14:textId="77777777" w:rsidR="00547EF1" w:rsidRPr="00E676E8" w:rsidRDefault="00547EF1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D9CF0B2" w14:textId="77777777" w:rsidR="00547EF1" w:rsidRPr="00E676E8" w:rsidRDefault="00547EF1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</w:tr>
      <w:tr w:rsidR="00547EF1" w:rsidRPr="00E676E8" w14:paraId="33A7E508" w14:textId="77777777" w:rsidTr="00472542">
        <w:trPr>
          <w:trHeight w:val="320"/>
        </w:trPr>
        <w:tc>
          <w:tcPr>
            <w:tcW w:w="3099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A1D7BAB" w14:textId="069056E7" w:rsidR="00547EF1" w:rsidRPr="00E676E8" w:rsidRDefault="00547EF1" w:rsidP="0047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Hindikush HPS on Mugrab river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81E3F5E" w14:textId="5D43A150" w:rsidR="00547EF1" w:rsidRPr="00E676E8" w:rsidRDefault="00547EF1" w:rsidP="00472542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1.2 MW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B71B060" w14:textId="2C6296E5" w:rsidR="00547EF1" w:rsidRPr="00E676E8" w:rsidRDefault="00547EF1" w:rsidP="00547EF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1913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3880155" w14:textId="42EAAC28" w:rsidR="00547EF1" w:rsidRPr="00E676E8" w:rsidRDefault="00547EF1" w:rsidP="004725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TurkmenEnergo</w:t>
            </w:r>
          </w:p>
        </w:tc>
      </w:tr>
    </w:tbl>
    <w:p w14:paraId="2731F7A2" w14:textId="77777777" w:rsidR="00835294" w:rsidRPr="00E676E8" w:rsidRDefault="00835294" w:rsidP="000A11F4">
      <w:pPr>
        <w:rPr>
          <w:rFonts w:asciiTheme="majorHAnsi" w:hAnsiTheme="majorHAnsi"/>
          <w:sz w:val="20"/>
          <w:szCs w:val="20"/>
          <w:lang w:val="en-US"/>
        </w:rPr>
      </w:pPr>
    </w:p>
    <w:p w14:paraId="10A088E9" w14:textId="7FAFE2E1" w:rsidR="00835294" w:rsidRPr="00E676E8" w:rsidRDefault="00835294" w:rsidP="005005E1">
      <w:pPr>
        <w:jc w:val="center"/>
        <w:rPr>
          <w:rFonts w:asciiTheme="majorHAnsi" w:hAnsiTheme="majorHAnsi"/>
          <w:b/>
          <w:szCs w:val="20"/>
          <w:lang w:val="en-US"/>
        </w:rPr>
      </w:pPr>
      <w:r w:rsidRPr="00E676E8">
        <w:rPr>
          <w:rFonts w:asciiTheme="majorHAnsi" w:hAnsiTheme="majorHAnsi"/>
          <w:b/>
          <w:szCs w:val="20"/>
          <w:lang w:val="en-US"/>
        </w:rPr>
        <w:t>Uzbekistan</w:t>
      </w:r>
    </w:p>
    <w:tbl>
      <w:tblPr>
        <w:tblW w:w="8944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701"/>
        <w:gridCol w:w="1593"/>
        <w:gridCol w:w="2551"/>
      </w:tblGrid>
      <w:tr w:rsidR="000F2542" w:rsidRPr="00E676E8" w14:paraId="00CED8C6" w14:textId="77777777" w:rsidTr="00AB1541">
        <w:trPr>
          <w:trHeight w:val="320"/>
        </w:trPr>
        <w:tc>
          <w:tcPr>
            <w:tcW w:w="30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25DF874" w14:textId="4BD5D87D" w:rsidR="000F2542" w:rsidRPr="00E676E8" w:rsidRDefault="000F2542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A116210" w14:textId="65DF0468" w:rsidR="000F2542" w:rsidRPr="00E676E8" w:rsidRDefault="000F2542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Capacity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7EBFD8C" w14:textId="37B8F12F" w:rsidR="000F2542" w:rsidRPr="00E676E8" w:rsidRDefault="000F2542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A119D5E" w14:textId="4D096506" w:rsidR="000F2542" w:rsidRPr="00E676E8" w:rsidRDefault="000F2542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</w:tr>
      <w:tr w:rsidR="000F2542" w:rsidRPr="00E676E8" w14:paraId="30C306A7" w14:textId="77777777" w:rsidTr="000F2542">
        <w:trPr>
          <w:trHeight w:val="320"/>
        </w:trPr>
        <w:tc>
          <w:tcPr>
            <w:tcW w:w="3099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105BC4B" w14:textId="30E3B721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Hishrau HPS (GES-2B)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</w:tcPr>
          <w:p w14:paraId="541527BE" w14:textId="2AF54ACD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21.9 MW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auto"/>
            <w:noWrap/>
          </w:tcPr>
          <w:p w14:paraId="4AA27B17" w14:textId="3AC3F3E8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noWrap/>
          </w:tcPr>
          <w:p w14:paraId="56590934" w14:textId="7673998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280C08B8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1A5ECB32" w14:textId="77777777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Taligulyan HPS (GES-5B)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A5F789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8.8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71614DB" w14:textId="5B2DD0F0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83AEFBE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350F4EBF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70B73343" w14:textId="24608B0B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Lower Bozsu No.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 (GES-14)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3688ED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10.7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2A2FC20B" w14:textId="3355D856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23BA3FF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41A2F224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274CB873" w14:textId="26C2DF12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Lower Bozsu No.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 (GES-18)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4CDD0F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7.0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30C954A7" w14:textId="7F592B7D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2AA12E0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7F39E448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233035F5" w14:textId="1CF47741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Lower Bozsu No.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 (GES-19)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92BA8B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11.2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170B255D" w14:textId="7797BB77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4EA5C2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63DD2AD5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6AF79211" w14:textId="698FB78D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Lower Bozsu No.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 (GES-23)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AB9661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17.6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6FB4D8FC" w14:textId="394D4449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13C5D89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03553206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36C113F5" w14:textId="49818C3D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Lower Bozsu No.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 (GES-22)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276B08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4.4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0B41E142" w14:textId="64418673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7A1C026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  <w:tr w:rsidR="000F2542" w:rsidRPr="00E676E8" w14:paraId="1C21F4C9" w14:textId="77777777" w:rsidTr="000F2542">
        <w:trPr>
          <w:trHeight w:val="320"/>
        </w:trPr>
        <w:tc>
          <w:tcPr>
            <w:tcW w:w="3099" w:type="dxa"/>
            <w:shd w:val="clear" w:color="auto" w:fill="auto"/>
            <w:noWrap/>
            <w:hideMark/>
          </w:tcPr>
          <w:p w14:paraId="766CB6D7" w14:textId="09EDEF35" w:rsidR="000F2542" w:rsidRPr="00E676E8" w:rsidRDefault="000F2542" w:rsidP="000F2542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Andijan HPS No.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 (GES-36)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AF4BD2" w14:textId="77777777" w:rsidR="000F2542" w:rsidRPr="00E676E8" w:rsidRDefault="000F2542" w:rsidP="0074439F">
            <w:pPr>
              <w:spacing w:line="240" w:lineRule="auto"/>
              <w:ind w:right="29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50.0 MW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36FC8F7B" w14:textId="71E83C4D" w:rsidR="000F2542" w:rsidRPr="00E676E8" w:rsidRDefault="0004141C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</w:t>
            </w:r>
            <w:r w:rsidR="000F254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fter 2000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BD9C330" w14:textId="77777777" w:rsidR="000F2542" w:rsidRPr="00E676E8" w:rsidRDefault="000F2542" w:rsidP="0074439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UzbekEnergo</w:t>
            </w:r>
          </w:p>
        </w:tc>
      </w:tr>
    </w:tbl>
    <w:p w14:paraId="0B19781F" w14:textId="29E8F977" w:rsidR="005005E1" w:rsidRDefault="005005E1" w:rsidP="005005E1">
      <w:pPr>
        <w:pStyle w:val="Heading2"/>
        <w:rPr>
          <w:lang w:val="en-GB"/>
        </w:rPr>
      </w:pPr>
      <w:r w:rsidRPr="00E676E8">
        <w:rPr>
          <w:lang w:val="en-GB"/>
        </w:rPr>
        <w:lastRenderedPageBreak/>
        <w:t xml:space="preserve">Planned </w:t>
      </w:r>
      <w:r w:rsidR="002359AE" w:rsidRPr="00E676E8">
        <w:rPr>
          <w:lang w:val="en-GB"/>
        </w:rPr>
        <w:t>hydro</w:t>
      </w:r>
      <w:r w:rsidRPr="00E676E8">
        <w:rPr>
          <w:lang w:val="en-GB"/>
        </w:rPr>
        <w:t>power projects in Central Asia</w:t>
      </w:r>
    </w:p>
    <w:p w14:paraId="69B720C5" w14:textId="77777777" w:rsidR="00F6593C" w:rsidRPr="00F6593C" w:rsidRDefault="00F6593C" w:rsidP="00F6593C">
      <w:pPr>
        <w:rPr>
          <w:lang w:val="en-GB"/>
        </w:rPr>
      </w:pPr>
    </w:p>
    <w:p w14:paraId="42CB7E2B" w14:textId="1B71D5A6" w:rsidR="00C52EF4" w:rsidRPr="00E676E8" w:rsidRDefault="00C52EF4" w:rsidP="00C52EF4">
      <w:pPr>
        <w:jc w:val="center"/>
        <w:rPr>
          <w:rFonts w:asciiTheme="majorHAnsi" w:hAnsiTheme="majorHAnsi"/>
          <w:b/>
        </w:rPr>
      </w:pPr>
      <w:r w:rsidRPr="00E676E8">
        <w:rPr>
          <w:rFonts w:asciiTheme="majorHAnsi" w:hAnsiTheme="majorHAnsi"/>
          <w:b/>
        </w:rPr>
        <w:t>Kazakhstan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992"/>
        <w:gridCol w:w="5748"/>
      </w:tblGrid>
      <w:tr w:rsidR="00C52EF4" w:rsidRPr="00E676E8" w14:paraId="736342CA" w14:textId="77777777" w:rsidTr="00AB1541">
        <w:trPr>
          <w:trHeight w:val="427"/>
        </w:trPr>
        <w:tc>
          <w:tcPr>
            <w:tcW w:w="2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07900C6" w14:textId="77777777" w:rsidR="00C52EF4" w:rsidRPr="00E676E8" w:rsidRDefault="00C52EF4" w:rsidP="00D615E6">
            <w:pPr>
              <w:tabs>
                <w:tab w:val="right" w:pos="3064"/>
              </w:tabs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D1FAE01" w14:textId="77777777" w:rsidR="00C52EF4" w:rsidRPr="00E676E8" w:rsidRDefault="00C52EF4" w:rsidP="00D615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C52EF4" w:rsidRPr="00AB1541" w14:paraId="4EAFD671" w14:textId="77777777" w:rsidTr="00C52EF4">
        <w:trPr>
          <w:trHeight w:val="600"/>
        </w:trPr>
        <w:tc>
          <w:tcPr>
            <w:tcW w:w="2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0624E9" w14:textId="09501636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LLP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Kazhydrotechenergo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57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2DD48" w14:textId="6FCC9DDA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Shelek HPP-29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 the Shelek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Enbekshikazakh region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with a total capacity of 34.8 MW, Almaty region</w:t>
            </w:r>
          </w:p>
        </w:tc>
      </w:tr>
      <w:tr w:rsidR="00C52EF4" w:rsidRPr="00AB1541" w14:paraId="3BEE93C3" w14:textId="77777777" w:rsidTr="00C52EF4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8B3D" w14:textId="4B6DFC4A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LLP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Datang-TT-Energy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6E77" w14:textId="73E52FE9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HPP-1, 2 on the Koksu river in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Kerbulak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istrict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with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total capacity of 42 MW, Almaty region</w:t>
            </w:r>
          </w:p>
        </w:tc>
      </w:tr>
      <w:tr w:rsidR="00C52EF4" w:rsidRPr="00AB1541" w14:paraId="5EC6261C" w14:textId="77777777" w:rsidTr="00C52EF4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77316" w14:textId="264FEC21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LL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 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Tursyn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E544" w14:textId="485921DB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Turgusunskaya HPP on the Turgusun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iver in Zyryanovsky District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with a capacity of 24.9 MW, East Kazakhstan </w:t>
            </w:r>
            <w:r w:rsidR="0018252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egion</w:t>
            </w:r>
          </w:p>
        </w:tc>
      </w:tr>
      <w:tr w:rsidR="00C52EF4" w:rsidRPr="00AB1541" w14:paraId="76E06365" w14:textId="77777777" w:rsidTr="00C52EF4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0FA27" w14:textId="7EE42DBB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LLp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AltEnergy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9F49" w14:textId="7EA8F182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Nizhne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Baskanskaya HPP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1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3 in Sarkand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istrict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with a total capacity of 15 MW, Almaty region</w:t>
            </w:r>
          </w:p>
        </w:tc>
      </w:tr>
      <w:tr w:rsidR="00C52EF4" w:rsidRPr="00AB1541" w14:paraId="32EA2C97" w14:textId="77777777" w:rsidTr="00C52EF4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1C85" w14:textId="6BD1A2EB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LLP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Tarazgreenpowerjenco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CD37C" w14:textId="001341A7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Merkensky HPP Cascade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5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7 in the Merke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istrict with a total capacity of 18 MW, Zhambyl </w:t>
            </w:r>
            <w:r w:rsidR="0018252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blast</w:t>
            </w:r>
          </w:p>
        </w:tc>
      </w:tr>
      <w:tr w:rsidR="00C52EF4" w:rsidRPr="00AB1541" w14:paraId="27D1C241" w14:textId="77777777" w:rsidTr="00C52EF4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D7019" w14:textId="6B309E8A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LLP 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‘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Teplotenergomash</w:t>
            </w:r>
            <w:r w:rsidR="0043099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’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67B7" w14:textId="6D079146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HPP 1, 2 on the Big Almaty Channel with a total capacity of 12 MW, Almaty </w:t>
            </w:r>
            <w:r w:rsidR="00834F0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egion</w:t>
            </w:r>
          </w:p>
        </w:tc>
      </w:tr>
    </w:tbl>
    <w:p w14:paraId="0C9AD5F6" w14:textId="77777777" w:rsidR="00C52EF4" w:rsidRPr="00E676E8" w:rsidRDefault="00C52EF4" w:rsidP="00116E2B">
      <w:pPr>
        <w:jc w:val="center"/>
        <w:rPr>
          <w:rFonts w:asciiTheme="majorHAnsi" w:hAnsiTheme="majorHAnsi"/>
          <w:b/>
          <w:szCs w:val="20"/>
          <w:lang w:val="en-US"/>
        </w:rPr>
      </w:pPr>
    </w:p>
    <w:p w14:paraId="10D86432" w14:textId="36BC6909" w:rsidR="005005E1" w:rsidRPr="00E676E8" w:rsidRDefault="00116E2B" w:rsidP="00116E2B">
      <w:pPr>
        <w:jc w:val="center"/>
        <w:rPr>
          <w:rFonts w:asciiTheme="majorHAnsi" w:hAnsiTheme="majorHAnsi"/>
          <w:b/>
          <w:szCs w:val="20"/>
          <w:lang w:val="en-US"/>
        </w:rPr>
      </w:pPr>
      <w:r w:rsidRPr="00E676E8">
        <w:rPr>
          <w:rFonts w:asciiTheme="majorHAnsi" w:hAnsiTheme="majorHAnsi"/>
          <w:b/>
          <w:szCs w:val="20"/>
          <w:lang w:val="en-US"/>
        </w:rPr>
        <w:t>Kyrgyzstan</w:t>
      </w:r>
    </w:p>
    <w:tbl>
      <w:tblPr>
        <w:tblW w:w="8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420"/>
      </w:tblGrid>
      <w:tr w:rsidR="00C31649" w:rsidRPr="00E676E8" w14:paraId="30E10EF0" w14:textId="77777777" w:rsidTr="00AB1541">
        <w:trPr>
          <w:trHeight w:val="320"/>
        </w:trPr>
        <w:tc>
          <w:tcPr>
            <w:tcW w:w="355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B8E4" w14:textId="77777777" w:rsidR="00C31649" w:rsidRPr="00E676E8" w:rsidRDefault="00C31649" w:rsidP="00D615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C031" w14:textId="7A4A5D17" w:rsidR="00092B1E" w:rsidRPr="00E676E8" w:rsidRDefault="00092B1E" w:rsidP="00D615E6">
            <w:pPr>
              <w:ind w:left="886" w:hanging="886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Description</w:t>
            </w:r>
          </w:p>
        </w:tc>
      </w:tr>
      <w:tr w:rsidR="00092B1E" w:rsidRPr="00AB1541" w14:paraId="6B149315" w14:textId="77777777" w:rsidTr="00E676E8">
        <w:trPr>
          <w:trHeight w:val="7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DFAF" w14:textId="67ADA5CE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Small hydropower station on </w:t>
            </w:r>
            <w:r w:rsidR="0004141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Djangakty river 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in Batken oblast, Kygyzstan – 0.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54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15E4" w14:textId="77777777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Kyrgyz State Committee for Industry, Energy and Subsoil Use </w:t>
            </w:r>
          </w:p>
        </w:tc>
      </w:tr>
      <w:tr w:rsidR="00092B1E" w:rsidRPr="00AB1541" w14:paraId="6D0B1D65" w14:textId="77777777" w:rsidTr="00E676E8">
        <w:trPr>
          <w:trHeight w:val="6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82DE" w14:textId="4BBEAC1C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Konur-Olon small hydropower s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tation in Isyk-Kul oblast</w:t>
            </w:r>
            <w:r w:rsidR="0004141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04141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3.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6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4A67" w14:textId="77777777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Kyrgyz State Committee for Industry, Energy and Subsoil Use </w:t>
            </w:r>
          </w:p>
        </w:tc>
      </w:tr>
      <w:tr w:rsidR="00092B1E" w:rsidRPr="00AB1541" w14:paraId="0E738E40" w14:textId="77777777" w:rsidTr="00E676E8">
        <w:trPr>
          <w:trHeight w:val="64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8C92" w14:textId="0943A084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Kok-Sai small hydropower station in 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Isyk-Kul oblast, Kyrgyzstan – 3.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4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B800" w14:textId="77777777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Kyrgyz State Committee for Industry, Energy and Subsoil Use </w:t>
            </w:r>
          </w:p>
        </w:tc>
      </w:tr>
      <w:tr w:rsidR="00092B1E" w:rsidRPr="00AB1541" w14:paraId="0AFBDC7E" w14:textId="77777777" w:rsidTr="00E676E8">
        <w:trPr>
          <w:trHeight w:val="141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F436" w14:textId="1128D930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Sokuluk small hydropower station-5 in Chu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 oblast, Sokuluk district – 1.5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6F9E" w14:textId="13B0B708" w:rsidR="00C31649" w:rsidRPr="00E676E8" w:rsidRDefault="00430998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‘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Small Hydro Power Plants in the Kyrgyz Republic: Assessment of the Potential and Development</w:t>
            </w:r>
            <w:r w:rsidR="00117B24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Challenges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’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by World Bank Energy and Extractives Global Practice in collaboration with </w:t>
            </w:r>
            <w:r w:rsidR="0004141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the 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International Finance Corporation and Report of the Ministry of Energy of the Kyrgyz Republic</w:t>
            </w:r>
          </w:p>
        </w:tc>
      </w:tr>
      <w:tr w:rsidR="00092B1E" w:rsidRPr="00AB1541" w14:paraId="2D418976" w14:textId="77777777" w:rsidTr="00092B1E">
        <w:trPr>
          <w:trHeight w:val="3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7AF4" w14:textId="7B7265A1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Oi-Alma small hydropower station-2 in Osh o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blast, Kara-Kuldja district – 7.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>7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D0C9" w14:textId="7333D048" w:rsidR="00C31649" w:rsidRPr="00E676E8" w:rsidRDefault="00430998" w:rsidP="005A0C4C">
            <w:pPr>
              <w:spacing w:after="240"/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‘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Small Hydro Power Plants in the Kyrgyz Republic: Assessment of the Potential and Development</w:t>
            </w:r>
            <w:r w:rsidR="00117B24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Challenges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’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by World Bank Energy and Extractives Global Practice in collaboration with </w:t>
            </w:r>
            <w:r w:rsidR="0004141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the 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International Finance Corporation and Report of the Ministry of Energy of the Kyrgyz Republic</w:t>
            </w:r>
          </w:p>
        </w:tc>
      </w:tr>
      <w:tr w:rsidR="00092B1E" w:rsidRPr="00AB1541" w14:paraId="23174985" w14:textId="77777777" w:rsidTr="00E676E8">
        <w:trPr>
          <w:trHeight w:val="141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3308F" w14:textId="28ECEEAE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Totgul small hydropower station in Batken oblast, Batken district 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3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BCBC" w14:textId="3262AA26" w:rsidR="00C31649" w:rsidRPr="00E676E8" w:rsidRDefault="00430998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‘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Small Hydro Power Plants in the Kyrgyz Republic: Assessment of the Potential and Development</w:t>
            </w:r>
            <w:r w:rsidR="00117B24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Challenges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’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by World Bank Energy and Extractives Global Practice in collaboration </w:t>
            </w:r>
            <w:r w:rsidR="0004141C">
              <w:rPr>
                <w:rFonts w:asciiTheme="majorHAnsi" w:hAnsiTheme="majorHAnsi"/>
                <w:sz w:val="18"/>
                <w:szCs w:val="18"/>
                <w:lang w:val="en-US"/>
              </w:rPr>
              <w:t>with the</w:t>
            </w:r>
            <w:r w:rsidR="00117B2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International Finance Corporation and Report of the Ministry of Energy of the Kyrgyz Republic</w:t>
            </w:r>
          </w:p>
        </w:tc>
      </w:tr>
      <w:tr w:rsidR="00092B1E" w:rsidRPr="00AB1541" w14:paraId="195E26F8" w14:textId="77777777" w:rsidTr="00092B1E">
        <w:trPr>
          <w:trHeight w:val="3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4942" w14:textId="1FD0D17F" w:rsidR="00C31649" w:rsidRPr="00E676E8" w:rsidRDefault="00C31649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Otro-Tokoi small hydropower station in Issyk-Kul oblast, Ton district </w:t>
            </w:r>
            <w:r w:rsidR="00092B1E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20 MW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4FEF" w14:textId="595774BF" w:rsidR="00C31649" w:rsidRPr="00E676E8" w:rsidRDefault="00430998" w:rsidP="00092B1E">
            <w:pPr>
              <w:jc w:val="left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‘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Small Hydro Power Plants in the Kyrgyz Republic: Assessment of the Potential and Development</w:t>
            </w:r>
            <w:r w:rsidR="00117B24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31649" w:rsidRPr="00E676E8"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Challenges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  <w:lang w:val="en-US"/>
              </w:rPr>
              <w:t>’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by World Bank Energy and Extractives Global Practice in collaboration with </w:t>
            </w:r>
            <w:r w:rsidR="0004141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the </w:t>
            </w:r>
            <w:r w:rsidR="00C31649" w:rsidRPr="00E676E8">
              <w:rPr>
                <w:rFonts w:asciiTheme="majorHAnsi" w:hAnsiTheme="majorHAnsi"/>
                <w:sz w:val="18"/>
                <w:szCs w:val="18"/>
                <w:lang w:val="en-US"/>
              </w:rPr>
              <w:t>International Finance Corporation and Report of the Ministry of Energy of the Kyrgyz Republic</w:t>
            </w:r>
          </w:p>
        </w:tc>
      </w:tr>
    </w:tbl>
    <w:p w14:paraId="53E94301" w14:textId="77777777" w:rsidR="00116E2B" w:rsidRPr="00E676E8" w:rsidRDefault="00116E2B" w:rsidP="000A11F4">
      <w:pPr>
        <w:rPr>
          <w:rFonts w:asciiTheme="majorHAnsi" w:hAnsiTheme="majorHAnsi"/>
          <w:sz w:val="20"/>
          <w:szCs w:val="20"/>
          <w:lang w:val="en-US"/>
        </w:rPr>
      </w:pPr>
    </w:p>
    <w:p w14:paraId="388B1639" w14:textId="4A43D6C3" w:rsidR="00C52EF4" w:rsidRPr="00E676E8" w:rsidRDefault="00C52EF4" w:rsidP="00C52EF4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E676E8">
        <w:rPr>
          <w:rFonts w:asciiTheme="majorHAnsi" w:hAnsiTheme="majorHAnsi"/>
          <w:b/>
          <w:sz w:val="20"/>
          <w:szCs w:val="20"/>
          <w:lang w:val="en-US"/>
        </w:rPr>
        <w:lastRenderedPageBreak/>
        <w:t>Tajikistan</w:t>
      </w:r>
    </w:p>
    <w:tbl>
      <w:tblPr>
        <w:tblW w:w="7960" w:type="dxa"/>
        <w:tblInd w:w="93" w:type="dxa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426"/>
        <w:gridCol w:w="1701"/>
        <w:gridCol w:w="477"/>
        <w:gridCol w:w="1883"/>
        <w:gridCol w:w="49"/>
        <w:gridCol w:w="1231"/>
        <w:gridCol w:w="470"/>
        <w:gridCol w:w="7"/>
      </w:tblGrid>
      <w:tr w:rsidR="00C52EF4" w:rsidRPr="00E676E8" w14:paraId="4ADEBA53" w14:textId="77777777" w:rsidTr="00AB1541">
        <w:tc>
          <w:tcPr>
            <w:tcW w:w="171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5B7FDF2" w14:textId="77777777" w:rsidR="00C52EF4" w:rsidRPr="00E676E8" w:rsidRDefault="00C52EF4" w:rsidP="00AB154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SHPP</w:t>
            </w:r>
          </w:p>
        </w:tc>
        <w:tc>
          <w:tcPr>
            <w:tcW w:w="2604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E9609B6" w14:textId="3FFDBD69" w:rsidR="00C52EF4" w:rsidRPr="00E676E8" w:rsidRDefault="00C31649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Installed capacity (</w:t>
            </w:r>
            <w:r w:rsidR="00F45577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W)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CFF76B8" w14:textId="472310AD" w:rsidR="00C52EF4" w:rsidRPr="00E676E8" w:rsidRDefault="00C31649" w:rsidP="00F94C2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Annual electricity generation (kW</w:t>
            </w:r>
            <w:r w:rsidR="00C52EF4"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h</w:t>
            </w: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F7A1E07" w14:textId="77777777" w:rsidR="00C52EF4" w:rsidRPr="00E676E8" w:rsidRDefault="00C52EF4" w:rsidP="00AB154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Location</w:t>
            </w:r>
          </w:p>
        </w:tc>
      </w:tr>
      <w:tr w:rsidR="00C52EF4" w:rsidRPr="00E676E8" w14:paraId="700E2747" w14:textId="77777777" w:rsidTr="00AB1541">
        <w:trPr>
          <w:gridAfter w:val="1"/>
          <w:wAfter w:w="7" w:type="dxa"/>
        </w:trPr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D9EDC71" w14:textId="114E201A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Yazgulom-3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27BB02C" w14:textId="7E7F4E9A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1.9 MW</w:t>
            </w: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E2248A6" w14:textId="4476DE2A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449D8C8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Vanch</w:t>
            </w:r>
          </w:p>
        </w:tc>
      </w:tr>
      <w:tr w:rsidR="00C52EF4" w:rsidRPr="00E676E8" w14:paraId="0EE51A5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6A05B897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Yazgulom-4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88764F9" w14:textId="5C89292A" w:rsidR="00C52EF4" w:rsidRPr="00E676E8" w:rsidRDefault="00C52EF4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F45577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  <w:r w:rsidR="00F45577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D39A8C7" w14:textId="1F35D01F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280CD21B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Vanch</w:t>
            </w:r>
          </w:p>
        </w:tc>
      </w:tr>
      <w:tr w:rsidR="00C52EF4" w:rsidRPr="00E676E8" w14:paraId="2DE8C042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63169B5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Yazgulom-5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0B10B43" w14:textId="14FD095A" w:rsidR="00C52EF4" w:rsidRPr="00E676E8" w:rsidRDefault="00C52EF4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F45577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</w:t>
            </w:r>
            <w:r w:rsidR="00F45577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309E042" w14:textId="6E7DE716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CED126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Vanch</w:t>
            </w:r>
          </w:p>
        </w:tc>
      </w:tr>
      <w:tr w:rsidR="00C52EF4" w:rsidRPr="00E676E8" w14:paraId="09BC38CA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52463BD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Sorvo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013399A" w14:textId="369DBDDA" w:rsidR="00C52EF4" w:rsidRPr="00E676E8" w:rsidRDefault="00F45577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2C95B106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5B4F233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Vakhdat</w:t>
            </w:r>
          </w:p>
        </w:tc>
      </w:tr>
      <w:tr w:rsidR="00C52EF4" w:rsidRPr="00E676E8" w14:paraId="75A9A66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4DB61F2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Paldorak-1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F493C1C" w14:textId="7751326A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793C4AD" w14:textId="6F172F2D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AED1E2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Kuxisto-Mastchox</w:t>
            </w:r>
          </w:p>
        </w:tc>
      </w:tr>
      <w:tr w:rsidR="00C52EF4" w:rsidRPr="00E676E8" w14:paraId="295AB411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862F76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Rukshif-1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7BAB0E4" w14:textId="37C347AC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020FFAF" w14:textId="6779B8AC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CFDA2C7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Kuxisto-Mastchox</w:t>
            </w:r>
          </w:p>
        </w:tc>
      </w:tr>
      <w:tr w:rsidR="00C52EF4" w:rsidRPr="00E676E8" w14:paraId="4AA83000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7BAA8C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Samchon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EE8868B" w14:textId="41988784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97E768F" w14:textId="43AE8AE8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339733BA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Kuxisto-Mastchox</w:t>
            </w:r>
          </w:p>
        </w:tc>
      </w:tr>
      <w:tr w:rsidR="00C52EF4" w:rsidRPr="00E676E8" w14:paraId="0B5255A6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31464A24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Padask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0970E42" w14:textId="2F35E784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E0AE93E" w14:textId="1A13B9C1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33A2E5B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Kuxisto-Mastchox</w:t>
            </w:r>
          </w:p>
        </w:tc>
      </w:tr>
      <w:tr w:rsidR="00C52EF4" w:rsidRPr="00E676E8" w14:paraId="26F5A983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0AC8A6F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Iskich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2647A8F4" w14:textId="16D09FB7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26297062" w14:textId="01C9E1EE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EC92DFB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Gissar</w:t>
            </w:r>
          </w:p>
        </w:tc>
      </w:tr>
      <w:tr w:rsidR="00C52EF4" w:rsidRPr="00E676E8" w14:paraId="00739CA7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3974CA53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Fayzobod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082B3C9" w14:textId="76AF89AB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4137F37F" w14:textId="38ED1F82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459.6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A8521EF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Abdurax</w:t>
            </w:r>
          </w:p>
        </w:tc>
      </w:tr>
      <w:tr w:rsidR="00C52EF4" w:rsidRPr="00E676E8" w14:paraId="1ABE4D75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6E4D697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Djavoni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2AD2E56D" w14:textId="2EB442B2" w:rsidR="00C52EF4" w:rsidRPr="00E676E8" w:rsidRDefault="00F45577" w:rsidP="00F45577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7B84FA6" w14:textId="7BDE92F8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020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4D49753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Rogun</w:t>
            </w:r>
          </w:p>
        </w:tc>
      </w:tr>
      <w:tr w:rsidR="00C52EF4" w:rsidRPr="00E676E8" w14:paraId="2388B501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1AE303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Guli surx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27B5B21" w14:textId="23FFE31E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163FBF2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63C54F86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Rogun</w:t>
            </w:r>
          </w:p>
        </w:tc>
      </w:tr>
      <w:tr w:rsidR="00C52EF4" w:rsidRPr="00E676E8" w14:paraId="2EB91CE2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4E949B5D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Lugur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6191ADF" w14:textId="47EED518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C28BFEA" w14:textId="24B935A6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42576B38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Rogun</w:t>
            </w:r>
          </w:p>
        </w:tc>
      </w:tr>
      <w:tr w:rsidR="00C52EF4" w:rsidRPr="00E676E8" w14:paraId="338371E4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E95E644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Shingilich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27AF8237" w14:textId="69EFF780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32344B6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4B0FAD98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</w:p>
        </w:tc>
      </w:tr>
      <w:tr w:rsidR="00C52EF4" w:rsidRPr="00E676E8" w14:paraId="0D5E7C3E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4B51137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Runob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1625F92" w14:textId="5F73D55E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5F92FCA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3AB4AB8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</w:p>
        </w:tc>
      </w:tr>
      <w:tr w:rsidR="00C52EF4" w:rsidRPr="00E676E8" w14:paraId="3F74C327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CD112B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Khidiriyon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BC6E4AB" w14:textId="365BA948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0.3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83F6258" w14:textId="704BD70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2AC84F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</w:p>
        </w:tc>
      </w:tr>
      <w:tr w:rsidR="00C52EF4" w:rsidRPr="00E676E8" w14:paraId="7CECF7D2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D6F9272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Chaft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C52131B" w14:textId="46E5BCE5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3B3B7AB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099F231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</w:p>
        </w:tc>
      </w:tr>
      <w:tr w:rsidR="00C52EF4" w:rsidRPr="00E676E8" w14:paraId="63B20E8D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29EC3212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Kalanak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5499CE7" w14:textId="7B436B7E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541524E1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4A34B935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</w:p>
        </w:tc>
      </w:tr>
      <w:tr w:rsidR="00C52EF4" w:rsidRPr="00E676E8" w14:paraId="1EA01C2B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40E5316E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Sipoling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3A62C9E" w14:textId="663E1E9A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090A7335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0F26881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Rasht</w:t>
            </w:r>
          </w:p>
        </w:tc>
      </w:tr>
      <w:tr w:rsidR="00C52EF4" w:rsidRPr="00E676E8" w14:paraId="5DE2C1E3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F656879" w14:textId="2FED2405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</w:t>
            </w:r>
            <w:r w:rsidR="00117B2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ydara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065D567" w14:textId="7643FB2B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0DB8BC8B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325D82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Nurabod</w:t>
            </w:r>
          </w:p>
        </w:tc>
      </w:tr>
      <w:tr w:rsidR="00C52EF4" w:rsidRPr="00E676E8" w14:paraId="242A4276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F34FA41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Sangvor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0E7189D3" w14:textId="543FF779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4C120F2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019ADB7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Tavildara</w:t>
            </w:r>
          </w:p>
        </w:tc>
      </w:tr>
      <w:tr w:rsidR="00C52EF4" w:rsidRPr="00E676E8" w14:paraId="066FBF0B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44481D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Charsem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334ACFA" w14:textId="18B675B7" w:rsidR="00C52EF4" w:rsidRPr="00E676E8" w:rsidRDefault="00C52EF4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.0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26DCD74D" w14:textId="28850A73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13C6EB5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Shugnan</w:t>
            </w:r>
          </w:p>
        </w:tc>
      </w:tr>
      <w:tr w:rsidR="00C52EF4" w:rsidRPr="00E676E8" w14:paraId="0E597A0D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800BFB3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Namadgut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1FC6E591" w14:textId="6D1A81FD" w:rsidR="00C52EF4" w:rsidRPr="00E676E8" w:rsidRDefault="00C52EF4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2C61B457" w14:textId="12EEAEA1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3B50304B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Ishkashim</w:t>
            </w:r>
          </w:p>
        </w:tc>
      </w:tr>
      <w:tr w:rsidR="00C52EF4" w:rsidRPr="00E676E8" w14:paraId="16EA7265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9ABFF2B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Roshorv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668E22B" w14:textId="23D60360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0B98BC0" w14:textId="69AE0996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9330F9A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Rushan</w:t>
            </w:r>
          </w:p>
        </w:tc>
      </w:tr>
      <w:tr w:rsidR="00C52EF4" w:rsidRPr="00E676E8" w14:paraId="7AE89619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3B33524D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Yamchun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AE923FF" w14:textId="022F0B4D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D16C72E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DE3E583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Ishkashim</w:t>
            </w:r>
          </w:p>
        </w:tc>
      </w:tr>
      <w:tr w:rsidR="00C52EF4" w:rsidRPr="00E676E8" w14:paraId="5F1E7CCB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47D3302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Vichxarv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0BEBE1D4" w14:textId="0CD93319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3432D52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32EA28A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Vanch</w:t>
            </w:r>
          </w:p>
        </w:tc>
      </w:tr>
      <w:tr w:rsidR="00C52EF4" w:rsidRPr="00E676E8" w14:paraId="524FEC66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2FA670E8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Kishtudaki nav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1F46431C" w14:textId="1F8CE39E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5893FF1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423.3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D66F849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Panjikent</w:t>
            </w:r>
          </w:p>
        </w:tc>
      </w:tr>
      <w:tr w:rsidR="00C52EF4" w:rsidRPr="00E676E8" w14:paraId="579B19B7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F2CE3C3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Padrud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82AA075" w14:textId="5BB090B9" w:rsidR="00C52EF4" w:rsidRPr="00E676E8" w:rsidRDefault="00C52EF4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65A8291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6804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94FDB42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Panjikent</w:t>
            </w:r>
          </w:p>
        </w:tc>
      </w:tr>
      <w:tr w:rsidR="00C52EF4" w:rsidRPr="00E676E8" w14:paraId="5971BA31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43657C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Kurgovad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3D3108A" w14:textId="7B52E2B7" w:rsidR="00C52EF4" w:rsidRPr="00E676E8" w:rsidRDefault="00C52EF4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</w:t>
            </w:r>
            <w:r w:rsidR="007C06A2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32E5979" w14:textId="54B2BB0C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42B3A8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Darvaz</w:t>
            </w:r>
          </w:p>
        </w:tc>
      </w:tr>
      <w:tr w:rsidR="00C52EF4" w:rsidRPr="00E676E8" w14:paraId="02E32857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B00BF84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Leninobod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6C0235C" w14:textId="6E7F89FF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4197CBA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820.8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0D2D286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Djilikul</w:t>
            </w:r>
          </w:p>
        </w:tc>
      </w:tr>
      <w:tr w:rsidR="00C52EF4" w:rsidRPr="00E676E8" w14:paraId="3EC77CED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F8F33EC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Dukak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13C7C5EC" w14:textId="13CAA2B0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</w:t>
            </w:r>
            <w:r w:rsidR="00C52EF4"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MW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200A967" w14:textId="67BEA95A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E6FB6E0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C52EF4" w:rsidRPr="00E676E8" w14:paraId="5DB98444" w14:textId="77777777" w:rsidTr="00AB1541">
        <w:trPr>
          <w:gridAfter w:val="1"/>
          <w:wAfter w:w="7" w:type="dxa"/>
        </w:trPr>
        <w:tc>
          <w:tcPr>
            <w:tcW w:w="17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61069DE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Layrun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3EBA0DFD" w14:textId="7C828152" w:rsidR="00C52EF4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 MW</w:t>
            </w:r>
          </w:p>
        </w:tc>
        <w:tc>
          <w:tcPr>
            <w:tcW w:w="236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02B7806D" w14:textId="77777777" w:rsidR="00C52EF4" w:rsidRPr="00E676E8" w:rsidRDefault="00C52EF4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750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14:paraId="54C67D15" w14:textId="77777777" w:rsidR="00C52EF4" w:rsidRPr="00E676E8" w:rsidRDefault="00C52EF4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6EC3FB73" w14:textId="77777777" w:rsidTr="00AB1541">
        <w:trPr>
          <w:gridAfter w:val="1"/>
          <w:wAfter w:w="7" w:type="dxa"/>
        </w:trPr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F0F765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4FCD0A" w14:textId="77777777" w:rsidR="007C06A2" w:rsidRPr="00E676E8" w:rsidRDefault="007C06A2" w:rsidP="007C06A2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79A8F6" w14:textId="77777777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53C546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52EF4" w:rsidRPr="00E676E8" w14:paraId="58572CF6" w14:textId="77777777" w:rsidTr="007C06A2">
        <w:trPr>
          <w:gridAfter w:val="1"/>
          <w:wAfter w:w="7" w:type="dxa"/>
        </w:trPr>
        <w:tc>
          <w:tcPr>
            <w:tcW w:w="79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5B3D9B" w14:textId="77777777" w:rsidR="00C52EF4" w:rsidRPr="00E676E8" w:rsidRDefault="00C52EF4" w:rsidP="00C31649">
            <w:pPr>
              <w:spacing w:line="240" w:lineRule="auto"/>
              <w:ind w:right="887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Mini Hydropower Plants</w:t>
            </w:r>
          </w:p>
        </w:tc>
      </w:tr>
      <w:tr w:rsidR="007C06A2" w:rsidRPr="00E676E8" w14:paraId="56930564" w14:textId="77777777" w:rsidTr="00AB1541">
        <w:trPr>
          <w:gridAfter w:val="1"/>
          <w:wAfter w:w="7" w:type="dxa"/>
        </w:trPr>
        <w:tc>
          <w:tcPr>
            <w:tcW w:w="21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64C86A" w14:textId="74EF2AB0" w:rsidR="007C06A2" w:rsidRPr="00E676E8" w:rsidRDefault="007C06A2" w:rsidP="00AB1541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Mini HPP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694553" w14:textId="5126D71E" w:rsidR="007C06A2" w:rsidRPr="00E676E8" w:rsidRDefault="007C06A2" w:rsidP="00F94C2C">
            <w:pPr>
              <w:tabs>
                <w:tab w:val="left" w:pos="1485"/>
              </w:tabs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Installed  capacity (kW)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95718C" w14:textId="4E2DCD75" w:rsidR="007C06A2" w:rsidRPr="00E676E8" w:rsidRDefault="007C06A2" w:rsidP="007C06A2">
            <w:pPr>
              <w:spacing w:line="240" w:lineRule="auto"/>
              <w:ind w:right="126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Annual electricity generation (kWh)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31CD06" w14:textId="4E2FE947" w:rsidR="007C06A2" w:rsidRPr="00E676E8" w:rsidRDefault="007C06A2" w:rsidP="00AB1541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Location</w:t>
            </w:r>
          </w:p>
        </w:tc>
      </w:tr>
      <w:tr w:rsidR="007C06A2" w:rsidRPr="00E676E8" w14:paraId="4CB35818" w14:textId="77777777" w:rsidTr="00AB1541">
        <w:trPr>
          <w:gridAfter w:val="1"/>
          <w:wAfter w:w="7" w:type="dxa"/>
        </w:trPr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142BF98" w14:textId="4B930FB1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Shodmoni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8BD0422" w14:textId="69D7924A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65464FD" w14:textId="0F2094A1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EB3398B" w14:textId="79D10CD3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0AEADFBC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7477F51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Saidon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2CEBFDCD" w14:textId="1E1CE4F1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4745DDD" w14:textId="36D430D9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2F41D090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4D2830FC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6F95E458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Kabutiyon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465F4E2" w14:textId="43BCC879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670781D" w14:textId="4F314D5C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3BCCD99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4E0D1243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9EC1B8D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Ulfatobod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11E9A832" w14:textId="3C321E11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4BE653F0" w14:textId="1904B31A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E2F0CDB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201A9BD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668272F9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Khasandara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581A41B" w14:textId="23F3B6F1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49817DFE" w14:textId="738139A9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7CB5F7B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40A68F90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37DA779B" w14:textId="523CFB6F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Sari </w:t>
            </w:r>
            <w:r w:rsidR="00117B2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ulak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32B349F" w14:textId="07B22C41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B8EA442" w14:textId="5EDEF0AB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6A40526A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34D2B6C3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0DE6619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Chavchi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7EFF9E4D" w14:textId="639D146E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2F68EC48" w14:textId="20CAC4FB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673D46D1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270F6441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2BA33D4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Girdob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0C630F74" w14:textId="203E05CE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4F549AE6" w14:textId="71F6211C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BC74783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209CACD9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485C83D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Langar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B5F8F98" w14:textId="12BAD163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4C14A657" w14:textId="79AFEE26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4F3E35A4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Tavildara</w:t>
            </w:r>
          </w:p>
        </w:tc>
      </w:tr>
      <w:tr w:rsidR="007C06A2" w:rsidRPr="00E676E8" w14:paraId="65D68507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359FB342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Roga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AACCE2E" w14:textId="5AB30B13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26EA76E" w14:textId="5896C2B3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4A1A164E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Tavildara</w:t>
            </w:r>
          </w:p>
        </w:tc>
      </w:tr>
      <w:tr w:rsidR="007C06A2" w:rsidRPr="00E676E8" w14:paraId="3A0E827C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1BA3D73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Margzor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10D451CD" w14:textId="3975D5AB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C52E40A" w14:textId="507D7866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30320CF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Rogun</w:t>
            </w:r>
          </w:p>
        </w:tc>
      </w:tr>
      <w:tr w:rsidR="007C06A2" w:rsidRPr="00E676E8" w14:paraId="273EEEF6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59B0AE5B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Neknot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A1DB4B2" w14:textId="1F8598C0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0A9F020" w14:textId="0C364E9A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626DBED5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Panjikent</w:t>
            </w:r>
          </w:p>
        </w:tc>
      </w:tr>
      <w:tr w:rsidR="007C06A2" w:rsidRPr="00E676E8" w14:paraId="0E55E239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34621754" w14:textId="5054659C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Puli </w:t>
            </w:r>
            <w:r w:rsidR="00117B2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irdob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225C1B1" w14:textId="33E33AF5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D846469" w14:textId="6ABF7E1A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B0D0A6E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Panjikent</w:t>
            </w:r>
          </w:p>
        </w:tc>
      </w:tr>
      <w:tr w:rsidR="007C06A2" w:rsidRPr="00E676E8" w14:paraId="4C37A4C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FD46A65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Xuchaxo-2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3025551" w14:textId="6CD72B11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B900034" w14:textId="77777777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259.2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E64CDCB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Ganchi</w:t>
            </w:r>
          </w:p>
        </w:tc>
      </w:tr>
      <w:tr w:rsidR="007C06A2" w:rsidRPr="00E676E8" w14:paraId="3377A60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0DBA7EA8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Obchi-1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699A442" w14:textId="5B4A0085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0F3F5EC8" w14:textId="14D1E369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0D23DA3A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Ganchi</w:t>
            </w:r>
          </w:p>
        </w:tc>
      </w:tr>
      <w:tr w:rsidR="007C06A2" w:rsidRPr="00E676E8" w14:paraId="3F793E3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102A4FC4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Basmanda-2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242BC2A" w14:textId="779CD2A5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539664F" w14:textId="77777777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172.8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616B060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Ganchi</w:t>
            </w:r>
          </w:p>
        </w:tc>
      </w:tr>
      <w:tr w:rsidR="007C06A2" w:rsidRPr="00E676E8" w14:paraId="263BE688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2955DBE4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Guliston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DE18DF9" w14:textId="0D2679F4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3110629F" w14:textId="443788DC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CA44D72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Muminabad</w:t>
            </w:r>
          </w:p>
        </w:tc>
      </w:tr>
      <w:tr w:rsidR="007C06A2" w:rsidRPr="00E676E8" w14:paraId="1D5FB256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6307BA42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Shaxrinav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3A81616D" w14:textId="617767BC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10835836" w14:textId="1755F84B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19DBB948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Muminabad</w:t>
            </w:r>
          </w:p>
        </w:tc>
      </w:tr>
      <w:tr w:rsidR="007C06A2" w:rsidRPr="00E676E8" w14:paraId="2EECAB3F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7B49430A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Kaskun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449DC082" w14:textId="4AD9F798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72EF0806" w14:textId="190BDFEA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5713D559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Nurabad</w:t>
            </w:r>
          </w:p>
        </w:tc>
      </w:tr>
      <w:tr w:rsidR="007C06A2" w:rsidRPr="00E676E8" w14:paraId="4BE59E2E" w14:textId="77777777" w:rsidTr="00AB1541">
        <w:trPr>
          <w:gridAfter w:val="1"/>
          <w:wAfter w:w="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487269A7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Valgon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84BF65F" w14:textId="3456A3B8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45377806" w14:textId="77777777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345.6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14:paraId="7C044C07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Kuxistoni Mastchox</w:t>
            </w:r>
          </w:p>
        </w:tc>
      </w:tr>
      <w:tr w:rsidR="007C06A2" w:rsidRPr="00E676E8" w14:paraId="26A646C3" w14:textId="77777777" w:rsidTr="00AB1541">
        <w:trPr>
          <w:gridAfter w:val="2"/>
          <w:wAfter w:w="477" w:type="dxa"/>
        </w:trPr>
        <w:tc>
          <w:tcPr>
            <w:tcW w:w="1716" w:type="dxa"/>
            <w:shd w:val="clear" w:color="auto" w:fill="auto"/>
            <w:vAlign w:val="center"/>
            <w:hideMark/>
          </w:tcPr>
          <w:p w14:paraId="42F22B72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5F797AFF" w14:textId="0B7B3A1B" w:rsidR="007C06A2" w:rsidRPr="00E676E8" w:rsidRDefault="007C06A2" w:rsidP="00C31649">
            <w:pPr>
              <w:spacing w:line="240" w:lineRule="auto"/>
              <w:ind w:right="511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26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52706685" w14:textId="144B43C7" w:rsidR="007C06A2" w:rsidRPr="00E676E8" w:rsidRDefault="007C06A2" w:rsidP="00C31649">
            <w:pPr>
              <w:spacing w:line="240" w:lineRule="auto"/>
              <w:ind w:right="887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175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735.3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3D19ED02" w14:textId="77777777" w:rsidR="007C06A2" w:rsidRPr="00E676E8" w:rsidRDefault="007C06A2" w:rsidP="00C52EF4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AE06132" w14:textId="796603C3" w:rsidR="00C52EF4" w:rsidRDefault="00C52EF4" w:rsidP="000A11F4">
      <w:pPr>
        <w:rPr>
          <w:rFonts w:asciiTheme="majorHAnsi" w:hAnsiTheme="majorHAnsi"/>
          <w:sz w:val="20"/>
          <w:szCs w:val="20"/>
          <w:lang w:val="en-US"/>
        </w:rPr>
      </w:pPr>
    </w:p>
    <w:p w14:paraId="59AB5AE8" w14:textId="1DCB54EB" w:rsidR="00F94C2C" w:rsidRDefault="00F94C2C" w:rsidP="000A11F4">
      <w:pPr>
        <w:rPr>
          <w:rFonts w:asciiTheme="majorHAnsi" w:hAnsiTheme="majorHAnsi"/>
          <w:sz w:val="20"/>
          <w:szCs w:val="20"/>
          <w:lang w:val="en-US"/>
        </w:rPr>
      </w:pPr>
    </w:p>
    <w:p w14:paraId="1C857EA9" w14:textId="4858D137" w:rsidR="00F94C2C" w:rsidRDefault="00F94C2C" w:rsidP="000A11F4">
      <w:pPr>
        <w:rPr>
          <w:rFonts w:asciiTheme="majorHAnsi" w:hAnsiTheme="majorHAnsi"/>
          <w:sz w:val="20"/>
          <w:szCs w:val="20"/>
          <w:lang w:val="en-US"/>
        </w:rPr>
      </w:pPr>
    </w:p>
    <w:p w14:paraId="125F1130" w14:textId="77777777" w:rsidR="00F94C2C" w:rsidRPr="00E676E8" w:rsidRDefault="00F94C2C" w:rsidP="000A11F4">
      <w:pPr>
        <w:rPr>
          <w:rFonts w:asciiTheme="majorHAnsi" w:hAnsiTheme="majorHAnsi"/>
          <w:sz w:val="20"/>
          <w:szCs w:val="20"/>
          <w:lang w:val="en-US"/>
        </w:rPr>
      </w:pPr>
    </w:p>
    <w:p w14:paraId="7A8F5644" w14:textId="19C1D7AC" w:rsidR="009967B9" w:rsidRPr="008A79A5" w:rsidRDefault="009967B9" w:rsidP="008A79A5">
      <w:pPr>
        <w:spacing w:line="240" w:lineRule="auto"/>
        <w:jc w:val="center"/>
        <w:rPr>
          <w:rFonts w:asciiTheme="majorHAnsi" w:hAnsiTheme="majorHAnsi"/>
          <w:b/>
          <w:lang w:val="en-US"/>
        </w:rPr>
      </w:pPr>
      <w:r w:rsidRPr="008A79A5">
        <w:rPr>
          <w:rFonts w:asciiTheme="majorHAnsi" w:hAnsiTheme="majorHAnsi"/>
          <w:b/>
          <w:lang w:val="en-US"/>
        </w:rPr>
        <w:lastRenderedPageBreak/>
        <w:t>Turkmenistan</w:t>
      </w:r>
    </w:p>
    <w:tbl>
      <w:tblPr>
        <w:tblpPr w:leftFromText="180" w:rightFromText="180" w:vertAnchor="text" w:horzAnchor="page" w:tblpX="1009" w:tblpY="151"/>
        <w:tblW w:w="903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E16BD6" w:rsidRPr="00AB1541" w14:paraId="71FF8728" w14:textId="77777777" w:rsidTr="001C4BBE">
        <w:trPr>
          <w:trHeight w:val="320"/>
        </w:trPr>
        <w:tc>
          <w:tcPr>
            <w:tcW w:w="90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26E50EAB" w14:textId="77777777" w:rsidR="00E16BD6" w:rsidRDefault="00E16BD6" w:rsidP="003E77C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14:paraId="41D1AA42" w14:textId="042F509F" w:rsidR="00E16BD6" w:rsidRPr="00AB1541" w:rsidRDefault="00E16BD6" w:rsidP="003E77C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AB15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We are not aware of any hydropower plants in Turkmenistan at the current time</w:t>
            </w:r>
            <w:r w:rsidR="00AB154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14:paraId="0BCA7BE4" w14:textId="3C7078A8" w:rsidR="00E16BD6" w:rsidRPr="00E676E8" w:rsidRDefault="00E16BD6" w:rsidP="003E77C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7ED6829" w14:textId="751B1D7B" w:rsidR="009967B9" w:rsidRDefault="009967B9">
      <w:pPr>
        <w:jc w:val="center"/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276848E6" w14:textId="77777777" w:rsidR="00E16BD6" w:rsidRPr="00E676E8" w:rsidRDefault="00E16BD6" w:rsidP="00AB1541">
      <w:pPr>
        <w:jc w:val="center"/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51E055A4" w14:textId="77777777" w:rsidR="009967B9" w:rsidRPr="00E676E8" w:rsidRDefault="009967B9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621F6D31" w14:textId="77777777" w:rsidR="008A79A5" w:rsidRDefault="008A79A5" w:rsidP="009967B9">
      <w:pPr>
        <w:jc w:val="center"/>
        <w:rPr>
          <w:rFonts w:asciiTheme="majorHAnsi" w:eastAsia="Times New Roman" w:hAnsiTheme="majorHAnsi" w:cs="Times New Roman"/>
          <w:b/>
          <w:bCs/>
          <w:color w:val="000000"/>
          <w:szCs w:val="18"/>
          <w:lang w:val="en-US"/>
        </w:rPr>
      </w:pPr>
      <w:bookmarkStart w:id="0" w:name="_GoBack"/>
      <w:bookmarkEnd w:id="0"/>
    </w:p>
    <w:p w14:paraId="26426426" w14:textId="07083D2C" w:rsidR="009967B9" w:rsidRPr="00E676E8" w:rsidRDefault="009967B9" w:rsidP="008A79A5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Cs w:val="18"/>
          <w:lang w:val="en-US"/>
        </w:rPr>
      </w:pPr>
      <w:r w:rsidRPr="00E676E8">
        <w:rPr>
          <w:rFonts w:asciiTheme="majorHAnsi" w:eastAsia="Times New Roman" w:hAnsiTheme="majorHAnsi" w:cs="Times New Roman"/>
          <w:b/>
          <w:bCs/>
          <w:color w:val="000000"/>
          <w:szCs w:val="18"/>
          <w:lang w:val="en-US"/>
        </w:rPr>
        <w:t>Uzbekistan</w:t>
      </w:r>
    </w:p>
    <w:tbl>
      <w:tblPr>
        <w:tblpPr w:leftFromText="180" w:rightFromText="180" w:vertAnchor="text" w:horzAnchor="page" w:tblpX="1009" w:tblpY="151"/>
        <w:tblW w:w="903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28"/>
      </w:tblGrid>
      <w:tr w:rsidR="00C52EF4" w:rsidRPr="00E676E8" w14:paraId="2A345F48" w14:textId="77777777" w:rsidTr="00C52EF4">
        <w:trPr>
          <w:trHeight w:val="320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10FD8469" w14:textId="77777777" w:rsidR="00C52EF4" w:rsidRPr="00E676E8" w:rsidRDefault="00C52EF4" w:rsidP="00C52EF4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68CD61F8" w14:textId="77777777" w:rsidR="00C52EF4" w:rsidRPr="00E676E8" w:rsidRDefault="00C52EF4" w:rsidP="00C52EF4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Funding</w:t>
            </w:r>
          </w:p>
        </w:tc>
      </w:tr>
      <w:tr w:rsidR="00C52EF4" w:rsidRPr="00AB1541" w14:paraId="6CA51A63" w14:textId="77777777" w:rsidTr="00C52EF4">
        <w:trPr>
          <w:trHeight w:val="320"/>
        </w:trPr>
        <w:tc>
          <w:tcPr>
            <w:tcW w:w="351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14:paraId="36380E1F" w14:textId="77777777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Lower Chatkal HPS – 100.0 MW</w:t>
            </w:r>
          </w:p>
        </w:tc>
        <w:tc>
          <w:tcPr>
            <w:tcW w:w="5528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14:paraId="1F82813F" w14:textId="308165AC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on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development of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  <w:tr w:rsidR="00C52EF4" w:rsidRPr="00AB1541" w14:paraId="27AE8E24" w14:textId="77777777" w:rsidTr="00C52EF4">
        <w:trPr>
          <w:trHeight w:val="32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F23344" w14:textId="77777777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Pskem HPS – 404.0 MW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A56F60" w14:textId="739A182E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on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the d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evelopment of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the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  <w:tr w:rsidR="00C52EF4" w:rsidRPr="00AB1541" w14:paraId="3F6F6DEB" w14:textId="77777777" w:rsidTr="00C52EF4">
        <w:trPr>
          <w:trHeight w:val="32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8FD3DE" w14:textId="2852A2A9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Mullalak HPS </w:t>
            </w:r>
            <w:r w:rsidR="005A0C4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240.0 MW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BFCEDB" w14:textId="66A35DA8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on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development of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the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  <w:tr w:rsidR="00C52EF4" w:rsidRPr="00AB1541" w14:paraId="4602FDDF" w14:textId="77777777" w:rsidTr="00C52EF4">
        <w:trPr>
          <w:trHeight w:val="32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D8995A" w14:textId="77777777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Upper Pskem HPS – 200.0 MW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7FE864" w14:textId="13731014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on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development of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the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  <w:tr w:rsidR="00C52EF4" w:rsidRPr="00AB1541" w14:paraId="797C2F55" w14:textId="77777777" w:rsidTr="00C52EF4">
        <w:trPr>
          <w:trHeight w:val="32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D24108" w14:textId="77777777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Hodjikent HPS with a reservoir – 200.0 MW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15C039" w14:textId="1FA4B947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on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development of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the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  <w:tr w:rsidR="00C52EF4" w:rsidRPr="00AB1541" w14:paraId="3C7E2F46" w14:textId="77777777" w:rsidTr="00C52EF4">
        <w:trPr>
          <w:trHeight w:val="32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30CDE9" w14:textId="7198362C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Cascade of Zarchob HPSs on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Tupalang river, 69.0 MW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582B33" w14:textId="3052C394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on 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development of</w:t>
            </w:r>
            <w:r w:rsidR="00117B2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  <w:tr w:rsidR="00C52EF4" w:rsidRPr="00AB1541" w14:paraId="3C4E1EE6" w14:textId="77777777" w:rsidTr="00C52EF4">
        <w:trPr>
          <w:trHeight w:val="320"/>
        </w:trPr>
        <w:tc>
          <w:tcPr>
            <w:tcW w:w="3510" w:type="dxa"/>
            <w:tcBorders>
              <w:top w:val="nil"/>
            </w:tcBorders>
            <w:shd w:val="clear" w:color="auto" w:fill="auto"/>
            <w:noWrap/>
          </w:tcPr>
          <w:p w14:paraId="4FE871E9" w14:textId="02CB34AC" w:rsidR="00C52EF4" w:rsidRPr="00E676E8" w:rsidRDefault="00C52EF4" w:rsidP="00C52EF4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Akbulak HPS on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Akbulak river – 60.0 MW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  <w:noWrap/>
          </w:tcPr>
          <w:p w14:paraId="2366DD8D" w14:textId="43C1CA34" w:rsidR="00C52EF4" w:rsidRPr="00E676E8" w:rsidRDefault="00C52EF4" w:rsidP="00C52EF4">
            <w:pPr>
              <w:tabs>
                <w:tab w:val="left" w:pos="532"/>
                <w:tab w:val="center" w:pos="2656"/>
              </w:tabs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In accordance with the state </w:t>
            </w:r>
            <w:r w:rsidR="00B3079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programme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on 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development of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the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hydropower sector between 2017</w:t>
            </w:r>
            <w:r w:rsidR="00F43D7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E676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2025</w:t>
            </w:r>
          </w:p>
        </w:tc>
      </w:tr>
    </w:tbl>
    <w:p w14:paraId="17175A11" w14:textId="34A72223" w:rsidR="009967B9" w:rsidRPr="00E676E8" w:rsidRDefault="009967B9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4705862B" w14:textId="6E915020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39F8E8C0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5674FDD9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613B5D8C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3D80BD65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0EEE96FF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72237D2A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5685ADDE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616BEFFE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04E2D505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0D12C9F5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0413BD16" w14:textId="77777777" w:rsidR="00224AE7" w:rsidRPr="00E676E8" w:rsidRDefault="00224AE7" w:rsidP="000A11F4">
      <w:pPr>
        <w:rPr>
          <w:rFonts w:asciiTheme="majorHAnsi" w:eastAsia="Times New Roman" w:hAnsiTheme="majorHAnsi" w:cs="Times New Roman"/>
          <w:bCs/>
          <w:color w:val="000000"/>
          <w:szCs w:val="18"/>
          <w:lang w:val="en-US"/>
        </w:rPr>
      </w:pPr>
    </w:p>
    <w:p w14:paraId="1DEEFEA7" w14:textId="77777777" w:rsidR="00224AE7" w:rsidRPr="00E676E8" w:rsidRDefault="00224AE7" w:rsidP="00224AE7">
      <w:pPr>
        <w:spacing w:line="240" w:lineRule="auto"/>
        <w:rPr>
          <w:rFonts w:asciiTheme="majorHAnsi" w:hAnsiTheme="majorHAnsi"/>
          <w:b/>
          <w:lang w:val="en-US"/>
        </w:rPr>
      </w:pPr>
      <w:r w:rsidRPr="00E676E8">
        <w:rPr>
          <w:rFonts w:asciiTheme="majorHAnsi" w:hAnsiTheme="majorHAnsi"/>
          <w:b/>
          <w:lang w:val="en-US"/>
        </w:rPr>
        <w:t>Abbreviations and terminology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284"/>
        <w:gridCol w:w="1417"/>
        <w:gridCol w:w="3686"/>
      </w:tblGrid>
      <w:tr w:rsidR="00A64FCC" w:rsidRPr="00E676E8" w14:paraId="49F77532" w14:textId="77777777" w:rsidTr="00A64FCC">
        <w:tc>
          <w:tcPr>
            <w:tcW w:w="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F6FD" w14:textId="3CD813DC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HPS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F1550" w14:textId="487EB191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Hydropower station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169E4" w14:textId="77777777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822C6" w14:textId="381C9ADB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MW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AE2B1" w14:textId="3C6D92A5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Megawatt</w:t>
            </w:r>
          </w:p>
        </w:tc>
      </w:tr>
      <w:tr w:rsidR="00A64FCC" w:rsidRPr="00E676E8" w14:paraId="7A7A4C22" w14:textId="77777777" w:rsidTr="00A64FCC">
        <w:tc>
          <w:tcPr>
            <w:tcW w:w="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342FD" w14:textId="241BB1D1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kW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DB6A1" w14:textId="55816176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kilowatt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42CB4" w14:textId="77777777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3FD04" w14:textId="030005BE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SHPP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E2D3D" w14:textId="32E90212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s</w:t>
            </w: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mall hydro power plant</w:t>
            </w:r>
          </w:p>
        </w:tc>
      </w:tr>
      <w:tr w:rsidR="00A64FCC" w:rsidRPr="00E676E8" w14:paraId="0F25E131" w14:textId="77777777" w:rsidTr="00A64FCC">
        <w:tc>
          <w:tcPr>
            <w:tcW w:w="8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517DA" w14:textId="0B9CA6F1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kWh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0F385" w14:textId="5C16A1CA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kilowatt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 xml:space="preserve"> </w:t>
            </w:r>
            <w:r w:rsidRPr="00E676E8"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  <w:t>hour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AE964" w14:textId="77777777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lang w:val="en-US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88463" w14:textId="55F0DB12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B8262" w14:textId="6F70D038" w:rsidR="00A64FCC" w:rsidRPr="00E676E8" w:rsidRDefault="00A64FCC" w:rsidP="00A64FCC">
            <w:pPr>
              <w:spacing w:line="240" w:lineRule="auto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18"/>
                <w:lang w:val="en-US"/>
              </w:rPr>
            </w:pPr>
          </w:p>
        </w:tc>
      </w:tr>
    </w:tbl>
    <w:p w14:paraId="5A5162B1" w14:textId="77777777" w:rsidR="003A6CDE" w:rsidRDefault="003A6CDE" w:rsidP="00F6593C">
      <w:pPr>
        <w:pStyle w:val="Heading2"/>
        <w:keepNext w:val="0"/>
        <w:keepLines w:val="0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rFonts w:ascii="Cambria" w:hAnsi="Cambria" w:cs="Times New Roman"/>
          <w:sz w:val="20"/>
          <w:szCs w:val="20"/>
          <w:highlight w:val="yellow"/>
          <w:lang w:val="en-US"/>
        </w:rPr>
      </w:pPr>
    </w:p>
    <w:p w14:paraId="7F43FE2F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</w:p>
    <w:p w14:paraId="0EDCC676" w14:textId="77777777" w:rsidR="00F403F4" w:rsidRDefault="00F403F4">
      <w:pPr>
        <w:spacing w:line="240" w:lineRule="auto"/>
        <w:jc w:val="left"/>
        <w:rPr>
          <w:rFonts w:ascii="Cambria" w:hAnsi="Cambria" w:cs="Times New Roman"/>
          <w:b/>
          <w:sz w:val="20"/>
          <w:szCs w:val="20"/>
          <w:lang w:val="en-US"/>
        </w:rPr>
      </w:pPr>
      <w:r>
        <w:rPr>
          <w:rFonts w:ascii="Cambria" w:hAnsi="Cambria" w:cs="Times New Roman"/>
          <w:b/>
          <w:sz w:val="20"/>
          <w:szCs w:val="20"/>
          <w:lang w:val="en-US"/>
        </w:rPr>
        <w:br w:type="page"/>
      </w:r>
    </w:p>
    <w:p w14:paraId="6E7B41C4" w14:textId="0D2CE869" w:rsidR="003A6CDE" w:rsidRPr="006B6391" w:rsidRDefault="003A6CDE" w:rsidP="003A6CDE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  <w:r w:rsidRPr="006B6391">
        <w:rPr>
          <w:rFonts w:ascii="Cambria" w:hAnsi="Cambria" w:cs="Times New Roman"/>
          <w:b/>
          <w:sz w:val="20"/>
          <w:szCs w:val="20"/>
          <w:lang w:val="en-US"/>
        </w:rPr>
        <w:lastRenderedPageBreak/>
        <w:t>About CADGAT and the Central Asia Regional Data Review</w:t>
      </w:r>
    </w:p>
    <w:p w14:paraId="0996DD3D" w14:textId="31C16CF6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>The Norwegian Institute of International Affairs (NUPI) and the OSCE Academy established the Central Asia Data</w:t>
      </w:r>
      <w:r w:rsidR="00B30792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6B6391">
        <w:rPr>
          <w:rFonts w:ascii="Cambria" w:hAnsi="Cambria" w:cs="Times New Roman"/>
          <w:sz w:val="20"/>
          <w:szCs w:val="20"/>
          <w:lang w:val="en-US"/>
        </w:rPr>
        <w:t xml:space="preserve">Gathering and Analysis Team (CADGAT) in 2009. The purpose of CADGAT is to produce new cross-regional data on Central Asia that can be freely used by researchers, journalists, NGOs, government employees and students inside and outside the region. The datasets can be found at: </w:t>
      </w:r>
      <w:hyperlink r:id="rId13" w:history="1">
        <w:r w:rsidRPr="006B6391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http://osce-academy.net/en/research/cadgat/</w:t>
        </w:r>
      </w:hyperlink>
      <w:r w:rsidRPr="006B6391">
        <w:rPr>
          <w:rFonts w:ascii="Cambria" w:hAnsi="Cambria" w:cs="Times New Roman"/>
          <w:sz w:val="20"/>
          <w:szCs w:val="20"/>
          <w:lang w:val="en-US"/>
        </w:rPr>
        <w:t xml:space="preserve"> </w:t>
      </w:r>
    </w:p>
    <w:p w14:paraId="7BB22953" w14:textId="77777777" w:rsidR="003A6CDE" w:rsidRPr="006B6391" w:rsidRDefault="003A6CDE" w:rsidP="003A6CDE">
      <w:pPr>
        <w:spacing w:line="240" w:lineRule="auto"/>
        <w:rPr>
          <w:rStyle w:val="Hyperlink"/>
          <w:rFonts w:ascii="Cambria" w:hAnsi="Cambria" w:cs="Times New Roman"/>
          <w:color w:val="auto"/>
          <w:sz w:val="20"/>
          <w:szCs w:val="20"/>
          <w:lang w:val="en-US"/>
        </w:rPr>
      </w:pPr>
    </w:p>
    <w:p w14:paraId="7CE84FE2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>The following CADGAT data articles have been published:</w:t>
      </w:r>
    </w:p>
    <w:p w14:paraId="774D7F51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731A4E1E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1. Hydroelectric dams and conflict in Central Asia </w:t>
      </w:r>
    </w:p>
    <w:p w14:paraId="5333D34D" w14:textId="136A99A9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2. Narcotics trade and related issues in Central Asia </w:t>
      </w:r>
    </w:p>
    <w:p w14:paraId="063E1B4D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3. Language use and language policy in Central Asia </w:t>
      </w:r>
    </w:p>
    <w:p w14:paraId="17AA02C9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4. The transport sector in Central Asia </w:t>
      </w:r>
    </w:p>
    <w:p w14:paraId="70399A21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5. Road transportation in Central Asia </w:t>
      </w:r>
    </w:p>
    <w:p w14:paraId="6CDADE45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6. Gender and politics in Central Asia </w:t>
      </w:r>
    </w:p>
    <w:p w14:paraId="238DE7B1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>7. Political relations in Central Asia</w:t>
      </w:r>
    </w:p>
    <w:p w14:paraId="15FE3710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>8. Trade policies and major export items in Central Asia</w:t>
      </w:r>
    </w:p>
    <w:p w14:paraId="54931869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9. Intra-regional trade in Central Asia </w:t>
      </w:r>
    </w:p>
    <w:p w14:paraId="2A1C4572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>10. Trade barriers and tariffs in Central Asia</w:t>
      </w:r>
    </w:p>
    <w:p w14:paraId="19A0DCF7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 xml:space="preserve">11. </w:t>
      </w: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Holidays in Central Asia. Part I: Laws and official holidays </w:t>
      </w:r>
    </w:p>
    <w:p w14:paraId="4B49AC32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12. Holidays in Central Asia. Part II: Professional and working holidays </w:t>
      </w:r>
    </w:p>
    <w:p w14:paraId="645FEA68" w14:textId="2AA0A9FA" w:rsidR="003A6CDE" w:rsidRPr="006B6391" w:rsidRDefault="003A6CDE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13. </w:t>
      </w:r>
      <w:r w:rsidR="00F403F4">
        <w:rPr>
          <w:rFonts w:ascii="Cambria" w:hAnsi="Cambria" w:cs="Times New Roman"/>
          <w:bCs/>
          <w:sz w:val="20"/>
          <w:szCs w:val="20"/>
          <w:lang w:val="en-US"/>
        </w:rPr>
        <w:t>M</w:t>
      </w: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edia in Central Asia: Print </w:t>
      </w:r>
      <w:r w:rsidR="00B30792">
        <w:rPr>
          <w:rFonts w:ascii="Cambria" w:hAnsi="Cambria" w:cs="Times New Roman"/>
          <w:bCs/>
          <w:sz w:val="20"/>
          <w:szCs w:val="20"/>
          <w:lang w:val="en-US"/>
        </w:rPr>
        <w:t>m</w:t>
      </w: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edia </w:t>
      </w:r>
    </w:p>
    <w:p w14:paraId="4EB0755E" w14:textId="70A5A732" w:rsidR="003A6CDE" w:rsidRPr="006B6391" w:rsidRDefault="003A6CDE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14. </w:t>
      </w:r>
      <w:r w:rsidR="00F403F4">
        <w:rPr>
          <w:rFonts w:ascii="Cambria" w:hAnsi="Cambria" w:cs="Times New Roman"/>
          <w:bCs/>
          <w:sz w:val="20"/>
          <w:szCs w:val="20"/>
          <w:lang w:val="en-US"/>
        </w:rPr>
        <w:t>M</w:t>
      </w:r>
      <w:r w:rsidRPr="006B6391">
        <w:rPr>
          <w:rFonts w:ascii="Cambria" w:hAnsi="Cambria" w:cs="Times New Roman"/>
          <w:bCs/>
          <w:sz w:val="20"/>
          <w:szCs w:val="20"/>
          <w:lang w:val="en-US"/>
        </w:rPr>
        <w:t>edia in Central Asia: TV</w:t>
      </w:r>
    </w:p>
    <w:p w14:paraId="62936BF7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6B6391">
        <w:rPr>
          <w:rFonts w:ascii="Cambria" w:hAnsi="Cambria" w:cs="Times New Roman"/>
          <w:bCs/>
          <w:sz w:val="20"/>
          <w:szCs w:val="20"/>
          <w:lang w:val="en-US"/>
        </w:rPr>
        <w:t xml:space="preserve">15. Radio in Central Asia </w:t>
      </w:r>
    </w:p>
    <w:p w14:paraId="4CA1D43F" w14:textId="283F1DB9" w:rsidR="003A6CDE" w:rsidRDefault="003A6CDE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3A6CDE">
        <w:rPr>
          <w:rFonts w:ascii="Cambria" w:hAnsi="Cambria" w:cs="Times New Roman"/>
          <w:bCs/>
          <w:sz w:val="20"/>
          <w:szCs w:val="20"/>
          <w:lang w:val="en-US"/>
        </w:rPr>
        <w:t xml:space="preserve">16. Renewable energy policies of </w:t>
      </w:r>
      <w:r w:rsidR="00F403F4">
        <w:rPr>
          <w:rFonts w:ascii="Cambria" w:hAnsi="Cambria" w:cs="Times New Roman"/>
          <w:bCs/>
          <w:sz w:val="20"/>
          <w:szCs w:val="20"/>
          <w:lang w:val="en-US"/>
        </w:rPr>
        <w:t xml:space="preserve">the </w:t>
      </w:r>
      <w:r w:rsidRPr="003A6CDE">
        <w:rPr>
          <w:rFonts w:ascii="Cambria" w:hAnsi="Cambria" w:cs="Times New Roman"/>
          <w:bCs/>
          <w:sz w:val="20"/>
          <w:szCs w:val="20"/>
          <w:lang w:val="en-US"/>
        </w:rPr>
        <w:t>Central Asian countries</w:t>
      </w:r>
    </w:p>
    <w:p w14:paraId="7D0AB85D" w14:textId="0341E55E" w:rsidR="003A6CDE" w:rsidRDefault="003A6CDE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>
        <w:rPr>
          <w:rFonts w:ascii="Cambria" w:hAnsi="Cambria" w:cs="Times New Roman"/>
          <w:bCs/>
          <w:sz w:val="20"/>
          <w:szCs w:val="20"/>
          <w:lang w:val="en-US"/>
        </w:rPr>
        <w:t xml:space="preserve">17. Wind power potential of </w:t>
      </w:r>
      <w:r w:rsidR="00F403F4">
        <w:rPr>
          <w:rFonts w:ascii="Cambria" w:hAnsi="Cambria" w:cs="Times New Roman"/>
          <w:bCs/>
          <w:sz w:val="20"/>
          <w:szCs w:val="20"/>
          <w:lang w:val="en-US"/>
        </w:rPr>
        <w:t xml:space="preserve">the </w:t>
      </w:r>
      <w:r>
        <w:rPr>
          <w:rFonts w:ascii="Cambria" w:hAnsi="Cambria" w:cs="Times New Roman"/>
          <w:bCs/>
          <w:sz w:val="20"/>
          <w:szCs w:val="20"/>
          <w:lang w:val="en-US"/>
        </w:rPr>
        <w:t>Central Asian countries</w:t>
      </w:r>
    </w:p>
    <w:p w14:paraId="33EBA0FA" w14:textId="5BD7D1E8" w:rsidR="009C1DB6" w:rsidRDefault="009C1DB6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>
        <w:rPr>
          <w:rFonts w:ascii="Cambria" w:hAnsi="Cambria" w:cs="Times New Roman"/>
          <w:bCs/>
          <w:sz w:val="20"/>
          <w:szCs w:val="20"/>
          <w:lang w:val="en-US"/>
        </w:rPr>
        <w:t xml:space="preserve">18. Solar power potential of </w:t>
      </w:r>
      <w:r w:rsidR="00F403F4">
        <w:rPr>
          <w:rFonts w:ascii="Cambria" w:hAnsi="Cambria" w:cs="Times New Roman"/>
          <w:bCs/>
          <w:sz w:val="20"/>
          <w:szCs w:val="20"/>
          <w:lang w:val="en-US"/>
        </w:rPr>
        <w:t xml:space="preserve">the </w:t>
      </w:r>
      <w:r>
        <w:rPr>
          <w:rFonts w:ascii="Cambria" w:hAnsi="Cambria" w:cs="Times New Roman"/>
          <w:bCs/>
          <w:sz w:val="20"/>
          <w:szCs w:val="20"/>
          <w:lang w:val="en-US"/>
        </w:rPr>
        <w:t>Central Asian countries</w:t>
      </w:r>
    </w:p>
    <w:p w14:paraId="60D4DF62" w14:textId="2F607BB4" w:rsidR="009A6551" w:rsidRPr="006B6391" w:rsidRDefault="009A6551" w:rsidP="003A6CDE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>
        <w:rPr>
          <w:rFonts w:ascii="Cambria" w:hAnsi="Cambria" w:cs="Times New Roman"/>
          <w:bCs/>
          <w:sz w:val="20"/>
          <w:szCs w:val="20"/>
          <w:lang w:val="en-US"/>
        </w:rPr>
        <w:t>19. Hydropower potential of</w:t>
      </w:r>
      <w:r w:rsidR="00F403F4">
        <w:rPr>
          <w:rFonts w:ascii="Cambria" w:hAnsi="Cambria" w:cs="Times New Roman"/>
          <w:bCs/>
          <w:sz w:val="20"/>
          <w:szCs w:val="20"/>
          <w:lang w:val="en-US"/>
        </w:rPr>
        <w:t xml:space="preserve"> the</w:t>
      </w:r>
      <w:r>
        <w:rPr>
          <w:rFonts w:ascii="Cambria" w:hAnsi="Cambria" w:cs="Times New Roman"/>
          <w:bCs/>
          <w:sz w:val="20"/>
          <w:szCs w:val="20"/>
          <w:lang w:val="en-US"/>
        </w:rPr>
        <w:t xml:space="preserve"> Central Asian countries</w:t>
      </w:r>
    </w:p>
    <w:p w14:paraId="775855D7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2E21AF6" w14:textId="6F1F8E3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6B6391">
        <w:rPr>
          <w:rFonts w:ascii="Cambria" w:hAnsi="Cambria" w:cs="Times New Roman"/>
          <w:sz w:val="20"/>
          <w:szCs w:val="20"/>
          <w:lang w:val="en-US"/>
        </w:rPr>
        <w:t>CADGAT has also produced a database on Elites in Central Asia</w:t>
      </w:r>
      <w:r w:rsidR="00B30792">
        <w:rPr>
          <w:rFonts w:ascii="Cambria" w:hAnsi="Cambria" w:cs="Times New Roman"/>
          <w:sz w:val="20"/>
          <w:szCs w:val="20"/>
          <w:lang w:val="en-US"/>
        </w:rPr>
        <w:t>,</w:t>
      </w:r>
      <w:r w:rsidRPr="006B6391">
        <w:rPr>
          <w:rFonts w:ascii="Cambria" w:hAnsi="Cambria" w:cs="Times New Roman"/>
          <w:sz w:val="20"/>
          <w:szCs w:val="20"/>
          <w:lang w:val="en-US"/>
        </w:rPr>
        <w:t xml:space="preserve"> which can be found at </w:t>
      </w:r>
      <w:hyperlink r:id="rId14" w:history="1">
        <w:r w:rsidRPr="006B6391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http://osce-academy.net/_dbelite/</w:t>
        </w:r>
      </w:hyperlink>
    </w:p>
    <w:p w14:paraId="0730FA9B" w14:textId="77777777" w:rsidR="003A6CDE" w:rsidRPr="006B6391" w:rsidRDefault="003A6CDE" w:rsidP="003A6CDE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5BE15674" w14:textId="08A9E5C9" w:rsidR="008E4944" w:rsidRDefault="008E4944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78E117DF" w14:textId="6E5DCDA1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1FA69100" w14:textId="54157C0C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5744CA66" w14:textId="0515966E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2838B89A" w14:textId="230EC018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07EC0B86" w14:textId="0582CD01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05FF511F" w14:textId="2ED7B6C1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248ACF33" w14:textId="7C3B9D22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160817BE" w14:textId="4F838733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03E68BB1" w14:textId="3E89C8D0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46E9A04A" w14:textId="0BB710BA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09095AE2" w14:textId="46F04321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0A4C1738" w14:textId="242364BC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7CDC4C45" w14:textId="2A66FA50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4B9DA3A8" w14:textId="799C40A4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7A68C0E5" w14:textId="1FBD11FF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33682068" w14:textId="3CAFF52C" w:rsidR="00A65757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p w14:paraId="414DA4A0" w14:textId="77777777" w:rsidR="00A65757" w:rsidRPr="00C54160" w:rsidRDefault="00A65757" w:rsidP="00A65757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</w:p>
    <w:p w14:paraId="5AB1651E" w14:textId="77777777" w:rsidR="00A65757" w:rsidRPr="00A65757" w:rsidRDefault="00A65757" w:rsidP="00AB1541">
      <w:pPr>
        <w:spacing w:line="240" w:lineRule="auto"/>
        <w:ind w:left="2124"/>
        <w:jc w:val="left"/>
        <w:rPr>
          <w:rFonts w:ascii="Cambria" w:hAnsi="Cambria"/>
          <w:sz w:val="20"/>
          <w:szCs w:val="20"/>
          <w:lang w:val="en-GB"/>
        </w:rPr>
      </w:pPr>
      <w:r w:rsidRPr="00AB1541">
        <w:rPr>
          <w:rFonts w:eastAsia="SimSun" w:hint="eastAsia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0AB5D0F7" wp14:editId="7E44D835">
            <wp:simplePos x="0" y="0"/>
            <wp:positionH relativeFrom="column">
              <wp:posOffset>2540</wp:posOffset>
            </wp:positionH>
            <wp:positionV relativeFrom="paragraph">
              <wp:posOffset>43815</wp:posOffset>
            </wp:positionV>
            <wp:extent cx="1556385" cy="520700"/>
            <wp:effectExtent l="0" t="0" r="5715" b="0"/>
            <wp:wrapTight wrapText="bothSides">
              <wp:wrapPolygon edited="0">
                <wp:start x="0" y="0"/>
                <wp:lineTo x="0" y="20546"/>
                <wp:lineTo x="21415" y="20546"/>
                <wp:lineTo x="21415" y="0"/>
                <wp:lineTo x="0" y="0"/>
              </wp:wrapPolygon>
            </wp:wrapTight>
            <wp:docPr id="2" name="Picture 2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Righ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41">
        <w:rPr>
          <w:rFonts w:eastAsia="SimSun" w:hint="eastAsia"/>
          <w:bCs/>
          <w:sz w:val="20"/>
          <w:szCs w:val="20"/>
          <w:lang w:val="en-GB"/>
        </w:rPr>
        <w:t>© 2019 by the authors. This is an open access publication under the terms and conditions of the Creative Commons Attribution (CC BY) license (</w:t>
      </w:r>
      <w:hyperlink r:id="rId16" w:history="1">
        <w:r w:rsidRPr="00AB1541">
          <w:rPr>
            <w:rStyle w:val="Hyperlink"/>
            <w:rFonts w:eastAsia="SimSun" w:hint="eastAsia"/>
            <w:bCs/>
            <w:sz w:val="20"/>
            <w:szCs w:val="20"/>
            <w:lang w:val="en-GB"/>
          </w:rPr>
          <w:t>http://creativecommons.org/licenses/by/4.0/</w:t>
        </w:r>
      </w:hyperlink>
      <w:r w:rsidRPr="00AB1541">
        <w:rPr>
          <w:rFonts w:eastAsia="SimSun" w:hint="eastAsia"/>
          <w:bCs/>
          <w:sz w:val="20"/>
          <w:szCs w:val="20"/>
          <w:lang w:val="en-GB"/>
        </w:rPr>
        <w:t xml:space="preserve">). The material can be used freely, as long as a reference to this article is included. </w:t>
      </w:r>
    </w:p>
    <w:p w14:paraId="62810551" w14:textId="77777777" w:rsidR="00A65757" w:rsidRPr="006049D0" w:rsidRDefault="00A65757" w:rsidP="00A65757">
      <w:pPr>
        <w:spacing w:line="240" w:lineRule="auto"/>
        <w:rPr>
          <w:rFonts w:ascii="Cambria" w:hAnsi="Cambria" w:cs="Times New Roman"/>
          <w:lang w:val="en-GB"/>
        </w:rPr>
      </w:pPr>
    </w:p>
    <w:p w14:paraId="6F161497" w14:textId="77777777" w:rsidR="00A65757" w:rsidRPr="00D612EB" w:rsidRDefault="00A65757" w:rsidP="00973B36">
      <w:pPr>
        <w:spacing w:line="240" w:lineRule="auto"/>
        <w:rPr>
          <w:rFonts w:ascii="Cambria" w:hAnsi="Cambria" w:cs="Times New Roman"/>
          <w:lang w:val="en-GB"/>
        </w:rPr>
      </w:pPr>
    </w:p>
    <w:sectPr w:rsidR="00A65757" w:rsidRPr="00D612EB" w:rsidSect="003A6CDE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753A" w14:textId="77777777" w:rsidR="00465A8A" w:rsidRDefault="00465A8A" w:rsidP="006A525D">
      <w:pPr>
        <w:spacing w:line="240" w:lineRule="auto"/>
      </w:pPr>
      <w:r>
        <w:separator/>
      </w:r>
    </w:p>
  </w:endnote>
  <w:endnote w:type="continuationSeparator" w:id="0">
    <w:p w14:paraId="39A9622C" w14:textId="77777777" w:rsidR="00465A8A" w:rsidRDefault="00465A8A" w:rsidP="006A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ia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11201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F26D7" w14:textId="3689B1DE" w:rsidR="006B2F26" w:rsidRPr="008E4944" w:rsidRDefault="006B2F26" w:rsidP="00233CE2">
        <w:pPr>
          <w:pStyle w:val="Footer"/>
          <w:jc w:val="right"/>
          <w:rPr>
            <w:rFonts w:ascii="Times New Roman" w:hAnsi="Times New Roman" w:cs="Times New Roman"/>
          </w:rPr>
        </w:pPr>
        <w:r w:rsidRPr="008E4944">
          <w:rPr>
            <w:rFonts w:ascii="Times New Roman" w:hAnsi="Times New Roman" w:cs="Times New Roman"/>
          </w:rPr>
          <w:fldChar w:fldCharType="begin"/>
        </w:r>
        <w:r w:rsidRPr="008E4944">
          <w:rPr>
            <w:rFonts w:ascii="Times New Roman" w:hAnsi="Times New Roman" w:cs="Times New Roman"/>
          </w:rPr>
          <w:instrText xml:space="preserve"> PAGE   \* MERGEFORMAT </w:instrText>
        </w:r>
        <w:r w:rsidRPr="008E494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E494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31E483" w14:textId="77777777" w:rsidR="006B2F26" w:rsidRDefault="006B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B353" w14:textId="77777777" w:rsidR="00465A8A" w:rsidRDefault="00465A8A" w:rsidP="006A525D">
      <w:pPr>
        <w:spacing w:line="240" w:lineRule="auto"/>
      </w:pPr>
      <w:r>
        <w:separator/>
      </w:r>
    </w:p>
  </w:footnote>
  <w:footnote w:type="continuationSeparator" w:id="0">
    <w:p w14:paraId="003E0EFA" w14:textId="77777777" w:rsidR="00465A8A" w:rsidRDefault="00465A8A" w:rsidP="006A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456D" w14:textId="77777777" w:rsidR="006B2F26" w:rsidRPr="00240942" w:rsidRDefault="006B2F26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240942">
      <w:rPr>
        <w:rFonts w:ascii="Cambria" w:hAnsi="Cambria" w:cs="Times New Roman"/>
        <w:color w:val="000000" w:themeColor="text1"/>
        <w:sz w:val="18"/>
        <w:szCs w:val="18"/>
        <w:lang w:val="en-US"/>
      </w:rPr>
      <w:t xml:space="preserve">Central Asia Regional Data Review </w:t>
    </w:r>
    <w:r w:rsidRPr="00240942">
      <w:rPr>
        <w:rFonts w:ascii="Cambria" w:hAnsi="Cambria" w:cs="Times New Roman"/>
        <w:color w:val="000000" w:themeColor="text1"/>
        <w:sz w:val="18"/>
        <w:szCs w:val="18"/>
        <w:highlight w:val="yellow"/>
        <w:lang w:val="en-US"/>
      </w:rPr>
      <w:t>16</w:t>
    </w:r>
    <w:r w:rsidRPr="00240942">
      <w:rPr>
        <w:rFonts w:ascii="Cambria" w:hAnsi="Cambria" w:cs="Times New Roman"/>
        <w:color w:val="000000" w:themeColor="text1"/>
        <w:sz w:val="18"/>
        <w:szCs w:val="18"/>
        <w:lang w:val="en-US"/>
      </w:rPr>
      <w:t xml:space="preserve"> (20</w:t>
    </w:r>
    <w:r w:rsidRPr="00240942">
      <w:rPr>
        <w:rFonts w:ascii="Cambria" w:hAnsi="Cambria" w:cs="Times New Roman"/>
        <w:color w:val="000000" w:themeColor="text1"/>
        <w:sz w:val="18"/>
        <w:szCs w:val="18"/>
        <w:highlight w:val="yellow"/>
        <w:lang w:val="en-US"/>
      </w:rPr>
      <w:t>19</w:t>
    </w:r>
    <w:r w:rsidRPr="00240942">
      <w:rPr>
        <w:rFonts w:ascii="Cambria" w:hAnsi="Cambria" w:cs="Times New Roman"/>
        <w:color w:val="000000" w:themeColor="text1"/>
        <w:sz w:val="18"/>
        <w:szCs w:val="18"/>
        <w:lang w:val="en-US"/>
      </w:rPr>
      <w:t>) 1–</w:t>
    </w:r>
    <w:r w:rsidRPr="00240942">
      <w:rPr>
        <w:rFonts w:ascii="Cambria" w:hAnsi="Cambria" w:cs="Times New Roman"/>
        <w:color w:val="000000" w:themeColor="text1"/>
        <w:sz w:val="18"/>
        <w:szCs w:val="18"/>
        <w:highlight w:val="yellow"/>
        <w:lang w:val="en-US"/>
      </w:rPr>
      <w:t>XX</w:t>
    </w:r>
    <w:r w:rsidRPr="00240942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30315CFD" w14:textId="77777777" w:rsidR="006B2F26" w:rsidRPr="00240942" w:rsidRDefault="006B2F2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C218" w14:textId="253B3745" w:rsidR="006B2F26" w:rsidRPr="00240942" w:rsidRDefault="006B2F26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240942">
      <w:rPr>
        <w:rFonts w:ascii="Cambria" w:hAnsi="Cambria" w:cs="Times New Roman"/>
        <w:color w:val="000000" w:themeColor="text1"/>
        <w:sz w:val="18"/>
        <w:szCs w:val="18"/>
        <w:lang w:val="en-US"/>
      </w:rPr>
      <w:t>Central Asia Regional Data Review 19 (2019) 1–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7</w:t>
    </w:r>
    <w:r w:rsidRPr="00240942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71B4E104" w14:textId="77777777" w:rsidR="006B2F26" w:rsidRPr="00240942" w:rsidRDefault="006B2F2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F21"/>
    <w:multiLevelType w:val="hybridMultilevel"/>
    <w:tmpl w:val="D75809F6"/>
    <w:lvl w:ilvl="0" w:tplc="7F5EC10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6405E"/>
    <w:multiLevelType w:val="hybridMultilevel"/>
    <w:tmpl w:val="71E2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A566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B12DF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C20D92"/>
    <w:multiLevelType w:val="hybridMultilevel"/>
    <w:tmpl w:val="A3EA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423A9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533578"/>
    <w:multiLevelType w:val="hybridMultilevel"/>
    <w:tmpl w:val="DBA28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47A0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5D"/>
    <w:rsid w:val="00001520"/>
    <w:rsid w:val="0000268C"/>
    <w:rsid w:val="00006770"/>
    <w:rsid w:val="00011980"/>
    <w:rsid w:val="0004141C"/>
    <w:rsid w:val="00044E7F"/>
    <w:rsid w:val="00067F40"/>
    <w:rsid w:val="00070299"/>
    <w:rsid w:val="0008447B"/>
    <w:rsid w:val="000864A0"/>
    <w:rsid w:val="00092B1E"/>
    <w:rsid w:val="00095599"/>
    <w:rsid w:val="000A11F4"/>
    <w:rsid w:val="000A1E8E"/>
    <w:rsid w:val="000C3061"/>
    <w:rsid w:val="000D69FB"/>
    <w:rsid w:val="000F2542"/>
    <w:rsid w:val="000F7B39"/>
    <w:rsid w:val="001079C0"/>
    <w:rsid w:val="001163EC"/>
    <w:rsid w:val="00116954"/>
    <w:rsid w:val="00116E2B"/>
    <w:rsid w:val="00117B24"/>
    <w:rsid w:val="00133841"/>
    <w:rsid w:val="00135FEF"/>
    <w:rsid w:val="00143D6F"/>
    <w:rsid w:val="00154145"/>
    <w:rsid w:val="00154C6D"/>
    <w:rsid w:val="00181047"/>
    <w:rsid w:val="00182529"/>
    <w:rsid w:val="00190B41"/>
    <w:rsid w:val="001A2B41"/>
    <w:rsid w:val="001A3668"/>
    <w:rsid w:val="001D1CCD"/>
    <w:rsid w:val="001E0E13"/>
    <w:rsid w:val="001E2862"/>
    <w:rsid w:val="001E3372"/>
    <w:rsid w:val="00202959"/>
    <w:rsid w:val="0020407C"/>
    <w:rsid w:val="002213A3"/>
    <w:rsid w:val="00224AE7"/>
    <w:rsid w:val="00233CE2"/>
    <w:rsid w:val="002359AE"/>
    <w:rsid w:val="00240942"/>
    <w:rsid w:val="0024400B"/>
    <w:rsid w:val="00263FA5"/>
    <w:rsid w:val="0028275B"/>
    <w:rsid w:val="002848B7"/>
    <w:rsid w:val="002866EA"/>
    <w:rsid w:val="00287CFC"/>
    <w:rsid w:val="00287FBB"/>
    <w:rsid w:val="002C27BE"/>
    <w:rsid w:val="002C2A09"/>
    <w:rsid w:val="002C5607"/>
    <w:rsid w:val="002D01B6"/>
    <w:rsid w:val="002E7DFA"/>
    <w:rsid w:val="003156A9"/>
    <w:rsid w:val="0032786F"/>
    <w:rsid w:val="003328A8"/>
    <w:rsid w:val="003538B6"/>
    <w:rsid w:val="0036758C"/>
    <w:rsid w:val="00374947"/>
    <w:rsid w:val="00386A9B"/>
    <w:rsid w:val="0039568B"/>
    <w:rsid w:val="003A345A"/>
    <w:rsid w:val="003A6CDE"/>
    <w:rsid w:val="003B0411"/>
    <w:rsid w:val="003B536F"/>
    <w:rsid w:val="003D1014"/>
    <w:rsid w:val="003D54E3"/>
    <w:rsid w:val="003D6564"/>
    <w:rsid w:val="003E7D39"/>
    <w:rsid w:val="003F4F60"/>
    <w:rsid w:val="003F7ECC"/>
    <w:rsid w:val="00401C88"/>
    <w:rsid w:val="004053C7"/>
    <w:rsid w:val="00405F72"/>
    <w:rsid w:val="004075EB"/>
    <w:rsid w:val="00413569"/>
    <w:rsid w:val="00430998"/>
    <w:rsid w:val="00436DFE"/>
    <w:rsid w:val="004410C0"/>
    <w:rsid w:val="0044529E"/>
    <w:rsid w:val="00447EEC"/>
    <w:rsid w:val="004520A3"/>
    <w:rsid w:val="00453472"/>
    <w:rsid w:val="00461A22"/>
    <w:rsid w:val="00461BE5"/>
    <w:rsid w:val="00465A8A"/>
    <w:rsid w:val="004676C6"/>
    <w:rsid w:val="00467AA4"/>
    <w:rsid w:val="00472542"/>
    <w:rsid w:val="00495FCD"/>
    <w:rsid w:val="004A0638"/>
    <w:rsid w:val="004A383F"/>
    <w:rsid w:val="004B1CEF"/>
    <w:rsid w:val="004B26E7"/>
    <w:rsid w:val="004B4B4E"/>
    <w:rsid w:val="004C2768"/>
    <w:rsid w:val="004C3674"/>
    <w:rsid w:val="004D2829"/>
    <w:rsid w:val="004F3437"/>
    <w:rsid w:val="004F7EB2"/>
    <w:rsid w:val="005005E1"/>
    <w:rsid w:val="00510903"/>
    <w:rsid w:val="0052762B"/>
    <w:rsid w:val="0053615E"/>
    <w:rsid w:val="00546CF7"/>
    <w:rsid w:val="00547EF1"/>
    <w:rsid w:val="00553AD4"/>
    <w:rsid w:val="00561C2E"/>
    <w:rsid w:val="005716E7"/>
    <w:rsid w:val="00572965"/>
    <w:rsid w:val="005773CA"/>
    <w:rsid w:val="00580CB0"/>
    <w:rsid w:val="0059070D"/>
    <w:rsid w:val="00595EBE"/>
    <w:rsid w:val="005A0C4C"/>
    <w:rsid w:val="005A2579"/>
    <w:rsid w:val="005B4866"/>
    <w:rsid w:val="005D383F"/>
    <w:rsid w:val="005E1183"/>
    <w:rsid w:val="005E32DE"/>
    <w:rsid w:val="005F0ED8"/>
    <w:rsid w:val="00611AC7"/>
    <w:rsid w:val="00611B1C"/>
    <w:rsid w:val="0062037A"/>
    <w:rsid w:val="006323FD"/>
    <w:rsid w:val="00633906"/>
    <w:rsid w:val="00645034"/>
    <w:rsid w:val="00645E2A"/>
    <w:rsid w:val="0065220B"/>
    <w:rsid w:val="00654B0D"/>
    <w:rsid w:val="006608FF"/>
    <w:rsid w:val="006726E3"/>
    <w:rsid w:val="00673283"/>
    <w:rsid w:val="0067430F"/>
    <w:rsid w:val="006841A2"/>
    <w:rsid w:val="006A525D"/>
    <w:rsid w:val="006A7C13"/>
    <w:rsid w:val="006B2F26"/>
    <w:rsid w:val="006C04A3"/>
    <w:rsid w:val="006D7805"/>
    <w:rsid w:val="006E086F"/>
    <w:rsid w:val="00714DF0"/>
    <w:rsid w:val="00720F47"/>
    <w:rsid w:val="00724B4A"/>
    <w:rsid w:val="00734E3C"/>
    <w:rsid w:val="0074439F"/>
    <w:rsid w:val="007475B4"/>
    <w:rsid w:val="00775228"/>
    <w:rsid w:val="00783413"/>
    <w:rsid w:val="00785CBD"/>
    <w:rsid w:val="0078724E"/>
    <w:rsid w:val="007A0686"/>
    <w:rsid w:val="007A2BF9"/>
    <w:rsid w:val="007B7B05"/>
    <w:rsid w:val="007C06A2"/>
    <w:rsid w:val="007C13FE"/>
    <w:rsid w:val="007C614D"/>
    <w:rsid w:val="007C64F8"/>
    <w:rsid w:val="007E1700"/>
    <w:rsid w:val="007E1ECA"/>
    <w:rsid w:val="008019CF"/>
    <w:rsid w:val="008027D5"/>
    <w:rsid w:val="008049DB"/>
    <w:rsid w:val="00825595"/>
    <w:rsid w:val="00827910"/>
    <w:rsid w:val="00831D43"/>
    <w:rsid w:val="00834F01"/>
    <w:rsid w:val="00835294"/>
    <w:rsid w:val="00852790"/>
    <w:rsid w:val="008530C6"/>
    <w:rsid w:val="00856AE2"/>
    <w:rsid w:val="008643AC"/>
    <w:rsid w:val="0086660C"/>
    <w:rsid w:val="00866A82"/>
    <w:rsid w:val="00890A0B"/>
    <w:rsid w:val="008A266E"/>
    <w:rsid w:val="008A79A5"/>
    <w:rsid w:val="008B54C7"/>
    <w:rsid w:val="008C3F4F"/>
    <w:rsid w:val="008D570A"/>
    <w:rsid w:val="008E4944"/>
    <w:rsid w:val="008E49EC"/>
    <w:rsid w:val="008F6508"/>
    <w:rsid w:val="008F6A16"/>
    <w:rsid w:val="0091750F"/>
    <w:rsid w:val="00933F2A"/>
    <w:rsid w:val="009422C6"/>
    <w:rsid w:val="00944CE0"/>
    <w:rsid w:val="009458C2"/>
    <w:rsid w:val="00973B36"/>
    <w:rsid w:val="00984FB7"/>
    <w:rsid w:val="009859BC"/>
    <w:rsid w:val="0099183A"/>
    <w:rsid w:val="009955DC"/>
    <w:rsid w:val="009967B9"/>
    <w:rsid w:val="009A6551"/>
    <w:rsid w:val="009C1DB6"/>
    <w:rsid w:val="009D35E0"/>
    <w:rsid w:val="009D5142"/>
    <w:rsid w:val="009E5E6A"/>
    <w:rsid w:val="009F3E8B"/>
    <w:rsid w:val="009F6119"/>
    <w:rsid w:val="00A00EE0"/>
    <w:rsid w:val="00A15E26"/>
    <w:rsid w:val="00A20072"/>
    <w:rsid w:val="00A34EA2"/>
    <w:rsid w:val="00A4168C"/>
    <w:rsid w:val="00A41A8F"/>
    <w:rsid w:val="00A47FB8"/>
    <w:rsid w:val="00A57A78"/>
    <w:rsid w:val="00A62092"/>
    <w:rsid w:val="00A64FCC"/>
    <w:rsid w:val="00A65757"/>
    <w:rsid w:val="00A92BE5"/>
    <w:rsid w:val="00A952B1"/>
    <w:rsid w:val="00AB1541"/>
    <w:rsid w:val="00AB37E2"/>
    <w:rsid w:val="00AC4E6E"/>
    <w:rsid w:val="00AE0943"/>
    <w:rsid w:val="00B060ED"/>
    <w:rsid w:val="00B12C33"/>
    <w:rsid w:val="00B14171"/>
    <w:rsid w:val="00B21711"/>
    <w:rsid w:val="00B2540F"/>
    <w:rsid w:val="00B30792"/>
    <w:rsid w:val="00B36159"/>
    <w:rsid w:val="00B43559"/>
    <w:rsid w:val="00B542C0"/>
    <w:rsid w:val="00B560D9"/>
    <w:rsid w:val="00B60D9C"/>
    <w:rsid w:val="00B61CEA"/>
    <w:rsid w:val="00B654BA"/>
    <w:rsid w:val="00B65DCB"/>
    <w:rsid w:val="00B923AE"/>
    <w:rsid w:val="00BB1F15"/>
    <w:rsid w:val="00BE0BE4"/>
    <w:rsid w:val="00BE5639"/>
    <w:rsid w:val="00C26F99"/>
    <w:rsid w:val="00C31649"/>
    <w:rsid w:val="00C3742D"/>
    <w:rsid w:val="00C46336"/>
    <w:rsid w:val="00C52EF4"/>
    <w:rsid w:val="00C55DB5"/>
    <w:rsid w:val="00C75EDC"/>
    <w:rsid w:val="00CA450F"/>
    <w:rsid w:val="00CB0D26"/>
    <w:rsid w:val="00CB3553"/>
    <w:rsid w:val="00CB5ECF"/>
    <w:rsid w:val="00CC0EAC"/>
    <w:rsid w:val="00CC5A2F"/>
    <w:rsid w:val="00CC7C41"/>
    <w:rsid w:val="00CD574B"/>
    <w:rsid w:val="00CD5E88"/>
    <w:rsid w:val="00CF35C4"/>
    <w:rsid w:val="00D02DCA"/>
    <w:rsid w:val="00D14777"/>
    <w:rsid w:val="00D237D4"/>
    <w:rsid w:val="00D5016D"/>
    <w:rsid w:val="00D611B5"/>
    <w:rsid w:val="00D612EB"/>
    <w:rsid w:val="00D615E6"/>
    <w:rsid w:val="00D80CD6"/>
    <w:rsid w:val="00D9538D"/>
    <w:rsid w:val="00DA6520"/>
    <w:rsid w:val="00DA736B"/>
    <w:rsid w:val="00DB3D27"/>
    <w:rsid w:val="00DB7EE4"/>
    <w:rsid w:val="00DE4144"/>
    <w:rsid w:val="00DF282B"/>
    <w:rsid w:val="00DF465E"/>
    <w:rsid w:val="00E01643"/>
    <w:rsid w:val="00E03A51"/>
    <w:rsid w:val="00E1078B"/>
    <w:rsid w:val="00E16BD6"/>
    <w:rsid w:val="00E40A7D"/>
    <w:rsid w:val="00E44E29"/>
    <w:rsid w:val="00E61E31"/>
    <w:rsid w:val="00E61FB1"/>
    <w:rsid w:val="00E676E8"/>
    <w:rsid w:val="00E8173A"/>
    <w:rsid w:val="00E91930"/>
    <w:rsid w:val="00E9678C"/>
    <w:rsid w:val="00EA1167"/>
    <w:rsid w:val="00EA2F2F"/>
    <w:rsid w:val="00EA367C"/>
    <w:rsid w:val="00EA685B"/>
    <w:rsid w:val="00EB3F4E"/>
    <w:rsid w:val="00EC7380"/>
    <w:rsid w:val="00EE51AF"/>
    <w:rsid w:val="00F02A24"/>
    <w:rsid w:val="00F04199"/>
    <w:rsid w:val="00F064ED"/>
    <w:rsid w:val="00F07EBC"/>
    <w:rsid w:val="00F1192F"/>
    <w:rsid w:val="00F22C93"/>
    <w:rsid w:val="00F25617"/>
    <w:rsid w:val="00F31F00"/>
    <w:rsid w:val="00F403F4"/>
    <w:rsid w:val="00F43D7D"/>
    <w:rsid w:val="00F45577"/>
    <w:rsid w:val="00F62325"/>
    <w:rsid w:val="00F6593C"/>
    <w:rsid w:val="00F816BB"/>
    <w:rsid w:val="00F858AA"/>
    <w:rsid w:val="00F85DCC"/>
    <w:rsid w:val="00F86468"/>
    <w:rsid w:val="00F94C2C"/>
    <w:rsid w:val="00FA2DB8"/>
    <w:rsid w:val="00FA3D01"/>
    <w:rsid w:val="00FA4DC3"/>
    <w:rsid w:val="00FB4E20"/>
    <w:rsid w:val="00FC1B9A"/>
    <w:rsid w:val="00FE440D"/>
    <w:rsid w:val="00FF4709"/>
    <w:rsid w:val="00FF5B4E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DC7CE5"/>
  <w15:docId w15:val="{EBB21F51-440E-7240-9CF6-62B43E22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D43"/>
    <w:pPr>
      <w:spacing w:line="276" w:lineRule="auto"/>
      <w:jc w:val="both"/>
    </w:pPr>
    <w:rPr>
      <w:rFonts w:ascii="cambia" w:eastAsiaTheme="minorHAnsi" w:hAnsi="cambia" w:cs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2A24"/>
    <w:pPr>
      <w:keepNext/>
      <w:keepLines/>
      <w:numPr>
        <w:numId w:val="7"/>
      </w:numPr>
      <w:spacing w:before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25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A5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25D"/>
    <w:rPr>
      <w:rFonts w:ascii="Arial" w:eastAsiaTheme="minorHAnsi" w:hAnsi="Arial" w:cs="Arial"/>
      <w:lang w:val="ru-RU" w:eastAsia="en-US"/>
    </w:rPr>
  </w:style>
  <w:style w:type="character" w:styleId="FootnoteReference">
    <w:name w:val="footnote reference"/>
    <w:basedOn w:val="DefaultParagraphFont"/>
    <w:uiPriority w:val="99"/>
    <w:unhideWhenUsed/>
    <w:rsid w:val="006A525D"/>
    <w:rPr>
      <w:vertAlign w:val="superscript"/>
    </w:rPr>
  </w:style>
  <w:style w:type="paragraph" w:styleId="BalloonText">
    <w:name w:val="Balloon Text"/>
    <w:basedOn w:val="Normal"/>
    <w:link w:val="BalloonTextChar"/>
    <w:rsid w:val="006A5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25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34"/>
    <w:qFormat/>
    <w:rsid w:val="006A525D"/>
    <w:pPr>
      <w:ind w:left="720"/>
      <w:contextualSpacing/>
    </w:pPr>
  </w:style>
  <w:style w:type="table" w:styleId="TableGrid">
    <w:name w:val="Table Grid"/>
    <w:basedOn w:val="TableNormal"/>
    <w:uiPriority w:val="59"/>
    <w:rsid w:val="006A525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A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25D"/>
    <w:rPr>
      <w:rFonts w:ascii="Arial" w:eastAsiaTheme="minorHAnsi" w:hAnsi="Arial" w:cs="Arial"/>
      <w:lang w:val="ru-R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525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000000"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525D"/>
    <w:rPr>
      <w:rFonts w:ascii="Arial" w:eastAsia="Times New Roman" w:hAnsi="Arial" w:cs="Arial"/>
      <w:vanish/>
      <w:color w:val="000000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52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F02A24"/>
    <w:rPr>
      <w:rFonts w:asciiTheme="majorHAnsi" w:eastAsiaTheme="majorEastAsia" w:hAnsiTheme="majorHAnsi" w:cstheme="majorBidi"/>
      <w:b/>
      <w:bCs/>
      <w:color w:val="000000" w:themeColor="text1"/>
      <w:szCs w:val="26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E26"/>
    <w:rPr>
      <w:rFonts w:ascii="Arial" w:eastAsiaTheme="minorHAnsi" w:hAnsi="Arial" w:cs="Arial"/>
      <w:b/>
      <w:bCs/>
      <w:lang w:val="ru-RU" w:eastAsia="en-US"/>
    </w:rPr>
  </w:style>
  <w:style w:type="paragraph" w:styleId="DocumentMap">
    <w:name w:val="Document Map"/>
    <w:basedOn w:val="Normal"/>
    <w:link w:val="DocumentMapChar"/>
    <w:rsid w:val="008027D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027D5"/>
    <w:rPr>
      <w:rFonts w:ascii="Lucida Grande" w:eastAsiaTheme="minorHAnsi" w:hAnsi="Lucida Grande" w:cs="Lucida Grande"/>
      <w:lang w:val="ru-RU" w:eastAsia="en-US"/>
    </w:rPr>
  </w:style>
  <w:style w:type="paragraph" w:customStyle="1" w:styleId="j12">
    <w:name w:val="j12"/>
    <w:basedOn w:val="Normal"/>
    <w:rsid w:val="00143D6F"/>
    <w:pPr>
      <w:spacing w:line="240" w:lineRule="auto"/>
      <w:textAlignment w:val="baseline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s31">
    <w:name w:val="s31"/>
    <w:basedOn w:val="DefaultParagraphFont"/>
    <w:rsid w:val="00143D6F"/>
    <w:rPr>
      <w:vanish/>
      <w:webHidden w:val="0"/>
      <w:specVanish w:val="0"/>
    </w:rPr>
  </w:style>
  <w:style w:type="character" w:customStyle="1" w:styleId="s1">
    <w:name w:val="s1"/>
    <w:basedOn w:val="DefaultParagraphFont"/>
    <w:rsid w:val="00143D6F"/>
    <w:rPr>
      <w:rFonts w:ascii="Times New Roman" w:hAnsi="Times New Roman" w:cs="Times New Roman" w:hint="default"/>
      <w:b/>
      <w:bCs/>
      <w:color w:val="000000"/>
    </w:rPr>
  </w:style>
  <w:style w:type="paragraph" w:customStyle="1" w:styleId="title4">
    <w:name w:val="title4"/>
    <w:basedOn w:val="Normal"/>
    <w:rsid w:val="00143D6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A6520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ce-academy.net/en/research/cadg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ce-academy.net/en/research/cadga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sce-academy.net/_dbel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AB7D-2C33-6144-9028-DDA8DED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Fjæstad</dc:creator>
  <cp:lastModifiedBy>Roman Vakulchuk</cp:lastModifiedBy>
  <cp:revision>21</cp:revision>
  <dcterms:created xsi:type="dcterms:W3CDTF">2019-02-26T00:33:00Z</dcterms:created>
  <dcterms:modified xsi:type="dcterms:W3CDTF">2019-03-07T14:56:00Z</dcterms:modified>
</cp:coreProperties>
</file>