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9927" w14:textId="77777777" w:rsidR="004F7CB2" w:rsidRDefault="00675007" w:rsidP="00675007">
      <w:pPr>
        <w:rPr>
          <w:b/>
          <w:bCs/>
        </w:rPr>
      </w:pPr>
      <w:r w:rsidRPr="00927518">
        <w:rPr>
          <w:b/>
          <w:bCs/>
        </w:rPr>
        <w:t>Syllabus</w:t>
      </w:r>
      <w:r w:rsidR="004F7CB2">
        <w:rPr>
          <w:b/>
          <w:bCs/>
        </w:rPr>
        <w:t xml:space="preserve"> </w:t>
      </w:r>
    </w:p>
    <w:p w14:paraId="0C1059BF" w14:textId="08C4F325" w:rsidR="00675007" w:rsidRPr="004F7CB2" w:rsidRDefault="004F7CB2" w:rsidP="00675007">
      <w:pPr>
        <w:rPr>
          <w:i/>
          <w:iCs/>
        </w:rPr>
      </w:pPr>
      <w:r w:rsidRPr="004F7CB2">
        <w:rPr>
          <w:i/>
          <w:iCs/>
        </w:rPr>
        <w:t>as of 20.06.2025</w:t>
      </w:r>
    </w:p>
    <w:p w14:paraId="1A19A2A1" w14:textId="6DE16C5E" w:rsidR="00675007" w:rsidRPr="00927518" w:rsidRDefault="00675007" w:rsidP="008B32A4">
      <w:pPr>
        <w:spacing w:after="0" w:line="276" w:lineRule="auto"/>
      </w:pPr>
      <w:r w:rsidRPr="00927518">
        <w:rPr>
          <w:b/>
          <w:bCs/>
        </w:rPr>
        <w:t>OSCE Academy in Bishkek</w:t>
      </w:r>
      <w:r w:rsidRPr="00927518">
        <w:br/>
      </w:r>
      <w:r w:rsidRPr="00927518">
        <w:rPr>
          <w:b/>
          <w:bCs/>
        </w:rPr>
        <w:t>Course Title:</w:t>
      </w:r>
      <w:r w:rsidRPr="00927518">
        <w:t xml:space="preserve"> European Climate Policy: Lessons for Central Asia</w:t>
      </w:r>
      <w:r w:rsidRPr="00927518">
        <w:br/>
      </w:r>
      <w:r w:rsidRPr="00927518">
        <w:rPr>
          <w:b/>
          <w:bCs/>
        </w:rPr>
        <w:t>Course Period:</w:t>
      </w:r>
      <w:r w:rsidRPr="00927518">
        <w:t xml:space="preserve"> </w:t>
      </w:r>
      <w:r w:rsidR="0011254D" w:rsidRPr="00927518">
        <w:t>23 - 27</w:t>
      </w:r>
      <w:r w:rsidRPr="00927518">
        <w:t xml:space="preserve"> June 2025</w:t>
      </w:r>
    </w:p>
    <w:p w14:paraId="3150AA4C" w14:textId="51FD823D" w:rsidR="008B32A4" w:rsidRPr="00927518" w:rsidRDefault="008B32A4" w:rsidP="008B32A4">
      <w:pPr>
        <w:spacing w:after="0" w:line="276" w:lineRule="auto"/>
      </w:pPr>
      <w:r w:rsidRPr="00927518">
        <w:rPr>
          <w:b/>
          <w:bCs/>
        </w:rPr>
        <w:t>Daily Schedule:</w:t>
      </w:r>
      <w:r w:rsidRPr="00927518">
        <w:t xml:space="preserve"> 9:00-10:30; 11:00-12:30; 13:30-15:00</w:t>
      </w:r>
    </w:p>
    <w:p w14:paraId="6A4FB845" w14:textId="057A3767" w:rsidR="00675007" w:rsidRPr="00927518" w:rsidRDefault="00675007" w:rsidP="008B32A4">
      <w:pPr>
        <w:spacing w:after="0" w:line="276" w:lineRule="auto"/>
      </w:pPr>
      <w:r w:rsidRPr="00927518">
        <w:rPr>
          <w:b/>
          <w:bCs/>
        </w:rPr>
        <w:t>Course Instructor:</w:t>
      </w:r>
      <w:r w:rsidRPr="00927518">
        <w:t xml:space="preserve"> Dr. Rahat Sabyrbekov</w:t>
      </w:r>
      <w:r w:rsidRPr="00927518">
        <w:br/>
        <w:t>r.sabyrbekov@osce-academy.net | Office hours: by appointment</w:t>
      </w:r>
    </w:p>
    <w:p w14:paraId="0F5D1EA3" w14:textId="77777777" w:rsidR="00675007" w:rsidRPr="00927518" w:rsidRDefault="00000000" w:rsidP="00675007">
      <w:r>
        <w:pict w14:anchorId="375D181F">
          <v:rect id="_x0000_i1025" style="width:0;height:1.5pt" o:hralign="center" o:hrstd="t" o:hr="t" fillcolor="#a0a0a0" stroked="f"/>
        </w:pict>
      </w:r>
    </w:p>
    <w:p w14:paraId="026D1874" w14:textId="77777777" w:rsidR="00675007" w:rsidRPr="00927518" w:rsidRDefault="00675007" w:rsidP="00675007">
      <w:pPr>
        <w:rPr>
          <w:b/>
          <w:bCs/>
        </w:rPr>
      </w:pPr>
      <w:r w:rsidRPr="00927518">
        <w:rPr>
          <w:b/>
          <w:bCs/>
        </w:rPr>
        <w:t>Course Description:</w:t>
      </w:r>
    </w:p>
    <w:p w14:paraId="2E4FC753" w14:textId="77777777" w:rsidR="00675007" w:rsidRPr="00927518" w:rsidRDefault="00675007" w:rsidP="00675007">
      <w:r w:rsidRPr="00927518">
        <w:t>This course introduces students to the European Union (EU) climate policy and examines its relevance for Central Asia. The EU's comprehensive climate policy—covering emission reductions, adaptation measures, and transition strategies—serves as a global benchmark. Meanwhile, Central Asia, a fossil-fuel-rich region, faces profound challenges in climate adaptation and policy transformation.</w:t>
      </w:r>
    </w:p>
    <w:p w14:paraId="459E82F0" w14:textId="77777777" w:rsidR="00675007" w:rsidRPr="00927518" w:rsidRDefault="00675007" w:rsidP="00675007">
      <w:r w:rsidRPr="00927518">
        <w:t xml:space="preserve">Students will compare both regions, gain analytical tools, and develop communication skills through case studies, discussions, and applied research. A new digital component using a dedicated </w:t>
      </w:r>
      <w:r w:rsidRPr="00927518">
        <w:rPr>
          <w:b/>
          <w:bCs/>
        </w:rPr>
        <w:t>Google Site</w:t>
      </w:r>
      <w:r w:rsidRPr="00927518">
        <w:t xml:space="preserve"> will enhance access to curated resources, lectures, and interactive materials.</w:t>
      </w:r>
    </w:p>
    <w:p w14:paraId="6D11FC1D" w14:textId="77777777" w:rsidR="00675007" w:rsidRPr="00927518" w:rsidRDefault="00675007" w:rsidP="00675007">
      <w:pPr>
        <w:rPr>
          <w:b/>
          <w:bCs/>
        </w:rPr>
      </w:pPr>
      <w:r w:rsidRPr="00927518">
        <w:rPr>
          <w:b/>
          <w:bCs/>
        </w:rPr>
        <w:t>Course Objectives:</w:t>
      </w:r>
    </w:p>
    <w:p w14:paraId="6601D6F3" w14:textId="77777777" w:rsidR="00675007" w:rsidRPr="00927518" w:rsidRDefault="00675007" w:rsidP="003977A6">
      <w:pPr>
        <w:numPr>
          <w:ilvl w:val="0"/>
          <w:numId w:val="1"/>
        </w:numPr>
        <w:spacing w:after="0"/>
      </w:pPr>
      <w:r w:rsidRPr="00927518">
        <w:t>Understand EU climate policy architecture and its global influence</w:t>
      </w:r>
    </w:p>
    <w:p w14:paraId="6FA01033" w14:textId="77777777" w:rsidR="00675007" w:rsidRPr="00927518" w:rsidRDefault="00675007" w:rsidP="003977A6">
      <w:pPr>
        <w:numPr>
          <w:ilvl w:val="0"/>
          <w:numId w:val="1"/>
        </w:numPr>
        <w:spacing w:after="0"/>
      </w:pPr>
      <w:r w:rsidRPr="00927518">
        <w:t>Evaluate policy instruments like the Emission Trading System (ETS) and carbon tax</w:t>
      </w:r>
    </w:p>
    <w:p w14:paraId="6A9A7241" w14:textId="77777777" w:rsidR="00675007" w:rsidRPr="00927518" w:rsidRDefault="00675007" w:rsidP="003977A6">
      <w:pPr>
        <w:numPr>
          <w:ilvl w:val="0"/>
          <w:numId w:val="1"/>
        </w:numPr>
        <w:spacing w:after="0"/>
      </w:pPr>
      <w:r w:rsidRPr="00927518">
        <w:t>Explore climate governance challenges and opportunities in Central Asia</w:t>
      </w:r>
    </w:p>
    <w:p w14:paraId="421E2006" w14:textId="77777777" w:rsidR="00675007" w:rsidRPr="00927518" w:rsidRDefault="00675007" w:rsidP="003977A6">
      <w:pPr>
        <w:numPr>
          <w:ilvl w:val="0"/>
          <w:numId w:val="1"/>
        </w:numPr>
        <w:spacing w:after="0"/>
      </w:pPr>
      <w:r w:rsidRPr="00927518">
        <w:t>Strengthen communication and policy analysis skills</w:t>
      </w:r>
    </w:p>
    <w:p w14:paraId="18BF5C0D" w14:textId="77777777" w:rsidR="00675007" w:rsidRPr="00927518" w:rsidRDefault="00675007" w:rsidP="003977A6">
      <w:pPr>
        <w:numPr>
          <w:ilvl w:val="0"/>
          <w:numId w:val="1"/>
        </w:numPr>
        <w:spacing w:after="0"/>
      </w:pPr>
      <w:r w:rsidRPr="00927518">
        <w:t>Promote student-led discussions and innovation through digital learning tools</w:t>
      </w:r>
    </w:p>
    <w:p w14:paraId="003B1859" w14:textId="77777777" w:rsidR="00675007" w:rsidRPr="00927518" w:rsidRDefault="00675007" w:rsidP="00675007">
      <w:pPr>
        <w:rPr>
          <w:b/>
          <w:bCs/>
        </w:rPr>
      </w:pPr>
      <w:r w:rsidRPr="00927518">
        <w:rPr>
          <w:b/>
          <w:bCs/>
        </w:rPr>
        <w:t>Learning Outcomes:</w:t>
      </w:r>
    </w:p>
    <w:p w14:paraId="7621B597" w14:textId="77777777" w:rsidR="00675007" w:rsidRPr="00927518" w:rsidRDefault="00675007" w:rsidP="003977A6">
      <w:pPr>
        <w:numPr>
          <w:ilvl w:val="0"/>
          <w:numId w:val="2"/>
        </w:numPr>
        <w:spacing w:after="0"/>
      </w:pPr>
      <w:r w:rsidRPr="00927518">
        <w:t>Describe key EU climate policy instruments and targets</w:t>
      </w:r>
    </w:p>
    <w:p w14:paraId="064068F5" w14:textId="77777777" w:rsidR="00675007" w:rsidRPr="00927518" w:rsidRDefault="00675007" w:rsidP="003977A6">
      <w:pPr>
        <w:numPr>
          <w:ilvl w:val="0"/>
          <w:numId w:val="2"/>
        </w:numPr>
        <w:spacing w:after="0"/>
      </w:pPr>
      <w:r w:rsidRPr="00927518">
        <w:t>Analyze the Green Deal and related strategies</w:t>
      </w:r>
    </w:p>
    <w:p w14:paraId="70072DAE" w14:textId="77777777" w:rsidR="00675007" w:rsidRPr="00927518" w:rsidRDefault="00675007" w:rsidP="003977A6">
      <w:pPr>
        <w:numPr>
          <w:ilvl w:val="0"/>
          <w:numId w:val="2"/>
        </w:numPr>
        <w:spacing w:after="0"/>
      </w:pPr>
      <w:r w:rsidRPr="00927518">
        <w:t>Assess the EU’s international climate leadership and agreements</w:t>
      </w:r>
    </w:p>
    <w:p w14:paraId="5E7072A1" w14:textId="77777777" w:rsidR="00675007" w:rsidRPr="00927518" w:rsidRDefault="00675007" w:rsidP="003977A6">
      <w:pPr>
        <w:numPr>
          <w:ilvl w:val="0"/>
          <w:numId w:val="2"/>
        </w:numPr>
        <w:spacing w:after="0"/>
      </w:pPr>
      <w:r w:rsidRPr="00927518">
        <w:t>Compare EU and Central Asian policy responses to climate challenges</w:t>
      </w:r>
    </w:p>
    <w:p w14:paraId="1AEA8599" w14:textId="77777777" w:rsidR="00675007" w:rsidRPr="00927518" w:rsidRDefault="00675007" w:rsidP="003977A6">
      <w:pPr>
        <w:numPr>
          <w:ilvl w:val="0"/>
          <w:numId w:val="2"/>
        </w:numPr>
        <w:spacing w:after="0"/>
      </w:pPr>
      <w:r w:rsidRPr="00927518">
        <w:t>Articulate arguments using policy evidence in presentations and essays</w:t>
      </w:r>
    </w:p>
    <w:p w14:paraId="321402C5" w14:textId="77777777" w:rsidR="00675007" w:rsidRPr="00927518" w:rsidRDefault="00000000" w:rsidP="00675007">
      <w:r>
        <w:pict w14:anchorId="09731FBA">
          <v:rect id="_x0000_i1026" style="width:0;height:1.5pt" o:hralign="center" o:hrstd="t" o:hr="t" fillcolor="#a0a0a0" stroked="f"/>
        </w:pict>
      </w:r>
    </w:p>
    <w:p w14:paraId="25492C0A" w14:textId="584E4C9A" w:rsidR="00675007" w:rsidRPr="00927518" w:rsidRDefault="00675007" w:rsidP="00675007"/>
    <w:p w14:paraId="032B3CE6" w14:textId="77777777" w:rsidR="00675007" w:rsidRPr="00927518" w:rsidRDefault="00675007" w:rsidP="00675007">
      <w:pPr>
        <w:rPr>
          <w:b/>
          <w:bCs/>
        </w:rPr>
      </w:pPr>
      <w:r w:rsidRPr="00927518">
        <w:rPr>
          <w:b/>
          <w:bCs/>
        </w:rPr>
        <w:t>Course Schedule:</w:t>
      </w:r>
    </w:p>
    <w:p w14:paraId="7ADBE456" w14:textId="77777777" w:rsidR="00D7546E" w:rsidRPr="00927518" w:rsidRDefault="00D7546E" w:rsidP="00D7546E">
      <w:pPr>
        <w:spacing w:after="0" w:line="276" w:lineRule="auto"/>
      </w:pPr>
      <w:r w:rsidRPr="00927518">
        <w:rPr>
          <w:b/>
          <w:bCs/>
        </w:rPr>
        <w:lastRenderedPageBreak/>
        <w:t>Daily Schedule:</w:t>
      </w:r>
      <w:r w:rsidRPr="00927518">
        <w:t xml:space="preserve"> 9:00-10:30; 11:00-12:30; 13:30-15:00</w:t>
      </w:r>
    </w:p>
    <w:p w14:paraId="7A317250" w14:textId="77777777" w:rsidR="00A02775" w:rsidRPr="00927518" w:rsidRDefault="00A02775" w:rsidP="00675007">
      <w:pPr>
        <w:rPr>
          <w:b/>
          <w:bCs/>
        </w:rPr>
      </w:pPr>
    </w:p>
    <w:tbl>
      <w:tblPr>
        <w:tblStyle w:val="TableGrid"/>
        <w:tblW w:w="0" w:type="auto"/>
        <w:tblLook w:val="04A0" w:firstRow="1" w:lastRow="0" w:firstColumn="1" w:lastColumn="0" w:noHBand="0" w:noVBand="1"/>
      </w:tblPr>
      <w:tblGrid>
        <w:gridCol w:w="1313"/>
        <w:gridCol w:w="1534"/>
        <w:gridCol w:w="1417"/>
        <w:gridCol w:w="1554"/>
        <w:gridCol w:w="1646"/>
        <w:gridCol w:w="1886"/>
      </w:tblGrid>
      <w:tr w:rsidR="00A02775" w:rsidRPr="00927518" w14:paraId="717B163A" w14:textId="77777777" w:rsidTr="00F84282">
        <w:tc>
          <w:tcPr>
            <w:tcW w:w="1313" w:type="dxa"/>
          </w:tcPr>
          <w:p w14:paraId="77F551FD" w14:textId="033D94EB" w:rsidR="00A02775" w:rsidRPr="00927518" w:rsidRDefault="00A02775" w:rsidP="00675007">
            <w:pPr>
              <w:rPr>
                <w:b/>
                <w:bCs/>
              </w:rPr>
            </w:pPr>
            <w:r w:rsidRPr="00927518">
              <w:rPr>
                <w:b/>
                <w:bCs/>
              </w:rPr>
              <w:t>Time</w:t>
            </w:r>
          </w:p>
        </w:tc>
        <w:tc>
          <w:tcPr>
            <w:tcW w:w="1534" w:type="dxa"/>
          </w:tcPr>
          <w:p w14:paraId="1EA0D736" w14:textId="77777777" w:rsidR="00AD5195" w:rsidRPr="00927518" w:rsidRDefault="009A472A" w:rsidP="00675007">
            <w:pPr>
              <w:rPr>
                <w:b/>
                <w:bCs/>
              </w:rPr>
            </w:pPr>
            <w:r w:rsidRPr="00927518">
              <w:rPr>
                <w:b/>
                <w:bCs/>
              </w:rPr>
              <w:t>Monday</w:t>
            </w:r>
            <w:r w:rsidR="00AD5195" w:rsidRPr="00927518">
              <w:rPr>
                <w:b/>
                <w:bCs/>
              </w:rPr>
              <w:t xml:space="preserve">, </w:t>
            </w:r>
          </w:p>
          <w:p w14:paraId="19574249" w14:textId="3B67F7F9" w:rsidR="00A02775" w:rsidRPr="00927518" w:rsidRDefault="00AD5195" w:rsidP="00675007">
            <w:pPr>
              <w:rPr>
                <w:b/>
                <w:bCs/>
              </w:rPr>
            </w:pPr>
            <w:r w:rsidRPr="00927518">
              <w:rPr>
                <w:b/>
                <w:bCs/>
              </w:rPr>
              <w:t>23 June</w:t>
            </w:r>
          </w:p>
        </w:tc>
        <w:tc>
          <w:tcPr>
            <w:tcW w:w="1417" w:type="dxa"/>
          </w:tcPr>
          <w:p w14:paraId="762CC76E" w14:textId="77777777" w:rsidR="00A02775" w:rsidRPr="00927518" w:rsidRDefault="00AD5195" w:rsidP="00675007">
            <w:pPr>
              <w:rPr>
                <w:b/>
                <w:bCs/>
              </w:rPr>
            </w:pPr>
            <w:r w:rsidRPr="00927518">
              <w:rPr>
                <w:b/>
                <w:bCs/>
              </w:rPr>
              <w:t>Tuesday,</w:t>
            </w:r>
          </w:p>
          <w:p w14:paraId="4396A93C" w14:textId="6B7A3502" w:rsidR="00AD5195" w:rsidRPr="00927518" w:rsidRDefault="00AD5195" w:rsidP="00675007">
            <w:pPr>
              <w:rPr>
                <w:b/>
                <w:bCs/>
              </w:rPr>
            </w:pPr>
            <w:r w:rsidRPr="00927518">
              <w:rPr>
                <w:b/>
                <w:bCs/>
              </w:rPr>
              <w:t xml:space="preserve">24 June </w:t>
            </w:r>
          </w:p>
        </w:tc>
        <w:tc>
          <w:tcPr>
            <w:tcW w:w="1554" w:type="dxa"/>
          </w:tcPr>
          <w:p w14:paraId="05E73DEA" w14:textId="260FD5F3" w:rsidR="00A02775" w:rsidRPr="00927518" w:rsidRDefault="00AD5195" w:rsidP="00675007">
            <w:pPr>
              <w:rPr>
                <w:b/>
                <w:bCs/>
              </w:rPr>
            </w:pPr>
            <w:r w:rsidRPr="00927518">
              <w:rPr>
                <w:b/>
                <w:bCs/>
              </w:rPr>
              <w:t xml:space="preserve">Wednesday, </w:t>
            </w:r>
            <w:r w:rsidR="00DF0663" w:rsidRPr="00927518">
              <w:rPr>
                <w:b/>
                <w:bCs/>
              </w:rPr>
              <w:t>25 June</w:t>
            </w:r>
          </w:p>
        </w:tc>
        <w:tc>
          <w:tcPr>
            <w:tcW w:w="1646" w:type="dxa"/>
          </w:tcPr>
          <w:p w14:paraId="2F5AE4B9" w14:textId="77777777" w:rsidR="00DF0663" w:rsidRPr="00927518" w:rsidRDefault="00DF0663" w:rsidP="00675007">
            <w:pPr>
              <w:rPr>
                <w:b/>
                <w:bCs/>
              </w:rPr>
            </w:pPr>
            <w:r w:rsidRPr="00927518">
              <w:rPr>
                <w:b/>
                <w:bCs/>
              </w:rPr>
              <w:t>Thursday,</w:t>
            </w:r>
          </w:p>
          <w:p w14:paraId="133EE8B1" w14:textId="253B5177" w:rsidR="00DF0663" w:rsidRPr="00927518" w:rsidRDefault="00DF0663" w:rsidP="00675007">
            <w:pPr>
              <w:rPr>
                <w:b/>
                <w:bCs/>
              </w:rPr>
            </w:pPr>
            <w:r w:rsidRPr="00927518">
              <w:rPr>
                <w:b/>
                <w:bCs/>
              </w:rPr>
              <w:t>26 June</w:t>
            </w:r>
          </w:p>
        </w:tc>
        <w:tc>
          <w:tcPr>
            <w:tcW w:w="1886" w:type="dxa"/>
          </w:tcPr>
          <w:p w14:paraId="6F7187FE" w14:textId="41AD1473" w:rsidR="00A02775" w:rsidRPr="00927518" w:rsidRDefault="00DF0663" w:rsidP="00675007">
            <w:pPr>
              <w:rPr>
                <w:b/>
                <w:bCs/>
              </w:rPr>
            </w:pPr>
            <w:r w:rsidRPr="00927518">
              <w:rPr>
                <w:b/>
                <w:bCs/>
              </w:rPr>
              <w:t>Friday</w:t>
            </w:r>
          </w:p>
        </w:tc>
      </w:tr>
      <w:tr w:rsidR="004F7CB2" w:rsidRPr="0097685A" w14:paraId="2AB5CEDC" w14:textId="77777777" w:rsidTr="00F84282">
        <w:tc>
          <w:tcPr>
            <w:tcW w:w="1313" w:type="dxa"/>
          </w:tcPr>
          <w:p w14:paraId="1A10B21F" w14:textId="22019E1E" w:rsidR="004F7CB2" w:rsidRPr="00927518" w:rsidRDefault="004F7CB2" w:rsidP="00675007">
            <w:pPr>
              <w:rPr>
                <w:b/>
                <w:bCs/>
              </w:rPr>
            </w:pPr>
            <w:r w:rsidRPr="00927518">
              <w:rPr>
                <w:b/>
                <w:bCs/>
              </w:rPr>
              <w:t>9:00-10:30</w:t>
            </w:r>
          </w:p>
        </w:tc>
        <w:tc>
          <w:tcPr>
            <w:tcW w:w="1534" w:type="dxa"/>
            <w:vMerge w:val="restart"/>
          </w:tcPr>
          <w:p w14:paraId="0D8E1D44" w14:textId="72C5F6D0" w:rsidR="004F7CB2" w:rsidRPr="00927518" w:rsidRDefault="004F7CB2" w:rsidP="00675007">
            <w:pPr>
              <w:rPr>
                <w:b/>
                <w:bCs/>
              </w:rPr>
            </w:pPr>
            <w:r w:rsidRPr="00927518">
              <w:t>Introduction to EU climate policy</w:t>
            </w:r>
          </w:p>
        </w:tc>
        <w:tc>
          <w:tcPr>
            <w:tcW w:w="1417" w:type="dxa"/>
            <w:vMerge w:val="restart"/>
          </w:tcPr>
          <w:p w14:paraId="2005708E" w14:textId="49F9AA86" w:rsidR="004F7CB2" w:rsidRPr="00927518" w:rsidRDefault="004F7CB2" w:rsidP="00675007">
            <w:r w:rsidRPr="00927518">
              <w:t>Climate Policy Across Sectors</w:t>
            </w:r>
          </w:p>
        </w:tc>
        <w:tc>
          <w:tcPr>
            <w:tcW w:w="1554" w:type="dxa"/>
            <w:vMerge w:val="restart"/>
          </w:tcPr>
          <w:p w14:paraId="0BBBA991" w14:textId="797870F9" w:rsidR="004F7CB2" w:rsidRPr="00927518" w:rsidRDefault="004F7CB2" w:rsidP="00675007">
            <w:r w:rsidRPr="00927518">
              <w:t>Instruments</w:t>
            </w:r>
          </w:p>
        </w:tc>
        <w:tc>
          <w:tcPr>
            <w:tcW w:w="1646" w:type="dxa"/>
            <w:vMerge w:val="restart"/>
          </w:tcPr>
          <w:p w14:paraId="3964D912" w14:textId="49A68E6B" w:rsidR="004F7CB2" w:rsidRPr="00927518" w:rsidRDefault="004F7CB2" w:rsidP="00675007">
            <w:r w:rsidRPr="00927518">
              <w:t>Lessons of Central Asia</w:t>
            </w:r>
          </w:p>
        </w:tc>
        <w:tc>
          <w:tcPr>
            <w:tcW w:w="1886" w:type="dxa"/>
            <w:vMerge w:val="restart"/>
          </w:tcPr>
          <w:p w14:paraId="0BA45BF4" w14:textId="77777777" w:rsidR="004F7CB2" w:rsidRPr="0097685A" w:rsidRDefault="004F7CB2" w:rsidP="0097685A">
            <w:r w:rsidRPr="0097685A">
              <w:rPr>
                <w:lang w:val="en"/>
              </w:rPr>
              <w:t>Round table: “Development of regional climate policy in Central Asia: EU lessons and future prospects.”</w:t>
            </w:r>
          </w:p>
          <w:p w14:paraId="6CE8669F" w14:textId="602BCEAB" w:rsidR="004F7CB2" w:rsidRPr="0097685A" w:rsidRDefault="004F7CB2" w:rsidP="006B60C2">
            <w:pPr>
              <w:rPr>
                <w:b/>
                <w:bCs/>
              </w:rPr>
            </w:pPr>
          </w:p>
        </w:tc>
      </w:tr>
      <w:tr w:rsidR="004F7CB2" w:rsidRPr="00927518" w14:paraId="417C9026" w14:textId="77777777" w:rsidTr="00F84282">
        <w:tc>
          <w:tcPr>
            <w:tcW w:w="1313" w:type="dxa"/>
          </w:tcPr>
          <w:p w14:paraId="1BCD9362" w14:textId="0C2AD6C7" w:rsidR="004F7CB2" w:rsidRPr="00927518" w:rsidRDefault="004F7CB2" w:rsidP="00675007">
            <w:pPr>
              <w:rPr>
                <w:b/>
                <w:bCs/>
              </w:rPr>
            </w:pPr>
            <w:r w:rsidRPr="00927518">
              <w:rPr>
                <w:b/>
                <w:bCs/>
              </w:rPr>
              <w:t>11:00-12:30</w:t>
            </w:r>
          </w:p>
        </w:tc>
        <w:tc>
          <w:tcPr>
            <w:tcW w:w="1534" w:type="dxa"/>
            <w:vMerge/>
          </w:tcPr>
          <w:p w14:paraId="389BD8B0" w14:textId="77777777" w:rsidR="004F7CB2" w:rsidRPr="00927518" w:rsidRDefault="004F7CB2" w:rsidP="00675007">
            <w:pPr>
              <w:rPr>
                <w:b/>
                <w:bCs/>
              </w:rPr>
            </w:pPr>
          </w:p>
        </w:tc>
        <w:tc>
          <w:tcPr>
            <w:tcW w:w="1417" w:type="dxa"/>
            <w:vMerge/>
          </w:tcPr>
          <w:p w14:paraId="4DD4B9B8" w14:textId="77777777" w:rsidR="004F7CB2" w:rsidRPr="00927518" w:rsidRDefault="004F7CB2" w:rsidP="00675007">
            <w:pPr>
              <w:rPr>
                <w:b/>
                <w:bCs/>
              </w:rPr>
            </w:pPr>
          </w:p>
        </w:tc>
        <w:tc>
          <w:tcPr>
            <w:tcW w:w="1554" w:type="dxa"/>
            <w:vMerge/>
          </w:tcPr>
          <w:p w14:paraId="74E5A341" w14:textId="77777777" w:rsidR="004F7CB2" w:rsidRPr="00927518" w:rsidRDefault="004F7CB2" w:rsidP="00675007">
            <w:pPr>
              <w:rPr>
                <w:b/>
                <w:bCs/>
              </w:rPr>
            </w:pPr>
          </w:p>
        </w:tc>
        <w:tc>
          <w:tcPr>
            <w:tcW w:w="1646" w:type="dxa"/>
            <w:vMerge/>
          </w:tcPr>
          <w:p w14:paraId="28B4E588" w14:textId="77777777" w:rsidR="004F7CB2" w:rsidRPr="00927518" w:rsidRDefault="004F7CB2" w:rsidP="00675007">
            <w:pPr>
              <w:rPr>
                <w:b/>
                <w:bCs/>
              </w:rPr>
            </w:pPr>
          </w:p>
        </w:tc>
        <w:tc>
          <w:tcPr>
            <w:tcW w:w="1886" w:type="dxa"/>
            <w:vMerge/>
          </w:tcPr>
          <w:p w14:paraId="3ED6620E" w14:textId="77777777" w:rsidR="004F7CB2" w:rsidRPr="00927518" w:rsidRDefault="004F7CB2" w:rsidP="00675007">
            <w:pPr>
              <w:rPr>
                <w:b/>
                <w:bCs/>
              </w:rPr>
            </w:pPr>
          </w:p>
        </w:tc>
      </w:tr>
      <w:tr w:rsidR="00AF6CB3" w:rsidRPr="00927518" w14:paraId="6496568C" w14:textId="77777777" w:rsidTr="004F7CB2">
        <w:tc>
          <w:tcPr>
            <w:tcW w:w="1313" w:type="dxa"/>
            <w:vAlign w:val="center"/>
          </w:tcPr>
          <w:p w14:paraId="62B2CC35" w14:textId="746BEA68" w:rsidR="00AF6CB3" w:rsidRPr="00927518" w:rsidRDefault="00AF6CB3" w:rsidP="00675007">
            <w:pPr>
              <w:rPr>
                <w:b/>
                <w:bCs/>
              </w:rPr>
            </w:pPr>
            <w:r w:rsidRPr="00927518">
              <w:rPr>
                <w:b/>
                <w:bCs/>
              </w:rPr>
              <w:t>12:30 – 13:30</w:t>
            </w:r>
          </w:p>
        </w:tc>
        <w:tc>
          <w:tcPr>
            <w:tcW w:w="1534" w:type="dxa"/>
            <w:vAlign w:val="center"/>
          </w:tcPr>
          <w:p w14:paraId="0050F542" w14:textId="5149CA51" w:rsidR="00AF6CB3" w:rsidRPr="008B0EF5" w:rsidRDefault="00AF6CB3" w:rsidP="00675007">
            <w:r w:rsidRPr="008B0EF5">
              <w:t>Lunch</w:t>
            </w:r>
          </w:p>
        </w:tc>
        <w:tc>
          <w:tcPr>
            <w:tcW w:w="1417" w:type="dxa"/>
            <w:vAlign w:val="center"/>
          </w:tcPr>
          <w:p w14:paraId="3CDD9CF3" w14:textId="253362AC" w:rsidR="00AF6CB3" w:rsidRPr="008B0EF5" w:rsidRDefault="004F7CB2" w:rsidP="00675007">
            <w:r w:rsidRPr="008B0EF5">
              <w:t>Lunch</w:t>
            </w:r>
          </w:p>
        </w:tc>
        <w:tc>
          <w:tcPr>
            <w:tcW w:w="1554" w:type="dxa"/>
            <w:vAlign w:val="center"/>
          </w:tcPr>
          <w:p w14:paraId="1CDAE40F" w14:textId="7D164260" w:rsidR="00AF6CB3" w:rsidRPr="008B0EF5" w:rsidRDefault="004F7CB2" w:rsidP="00675007">
            <w:r w:rsidRPr="008B0EF5">
              <w:t>Lunch</w:t>
            </w:r>
          </w:p>
        </w:tc>
        <w:tc>
          <w:tcPr>
            <w:tcW w:w="1646" w:type="dxa"/>
            <w:vAlign w:val="center"/>
          </w:tcPr>
          <w:p w14:paraId="146BC3C8" w14:textId="5A03B930" w:rsidR="00AF6CB3" w:rsidRPr="008B0EF5" w:rsidRDefault="004F7CB2" w:rsidP="00675007">
            <w:r w:rsidRPr="008B0EF5">
              <w:t>Lunch</w:t>
            </w:r>
          </w:p>
        </w:tc>
        <w:tc>
          <w:tcPr>
            <w:tcW w:w="1886" w:type="dxa"/>
            <w:vMerge/>
          </w:tcPr>
          <w:p w14:paraId="05428935" w14:textId="77777777" w:rsidR="00AF6CB3" w:rsidRPr="00927518" w:rsidRDefault="00AF6CB3" w:rsidP="00675007">
            <w:pPr>
              <w:rPr>
                <w:b/>
                <w:bCs/>
              </w:rPr>
            </w:pPr>
          </w:p>
        </w:tc>
      </w:tr>
      <w:tr w:rsidR="00F84282" w:rsidRPr="00927518" w14:paraId="4C5B79CD" w14:textId="77777777" w:rsidTr="00F84282">
        <w:tc>
          <w:tcPr>
            <w:tcW w:w="1313" w:type="dxa"/>
          </w:tcPr>
          <w:p w14:paraId="76831DB6" w14:textId="45ACCC3C" w:rsidR="00F84282" w:rsidRPr="00927518" w:rsidRDefault="00F84282" w:rsidP="00F84282">
            <w:pPr>
              <w:rPr>
                <w:b/>
                <w:bCs/>
              </w:rPr>
            </w:pPr>
            <w:r w:rsidRPr="00927518">
              <w:rPr>
                <w:b/>
                <w:bCs/>
              </w:rPr>
              <w:t>13:30-14:30</w:t>
            </w:r>
          </w:p>
        </w:tc>
        <w:tc>
          <w:tcPr>
            <w:tcW w:w="1534" w:type="dxa"/>
          </w:tcPr>
          <w:p w14:paraId="1F17BBB1" w14:textId="7BD44BC8" w:rsidR="00F84282" w:rsidRPr="00927518" w:rsidRDefault="00F84282" w:rsidP="00F84282">
            <w:pPr>
              <w:rPr>
                <w:b/>
                <w:bCs/>
              </w:rPr>
            </w:pPr>
            <w:r w:rsidRPr="00927518">
              <w:t>EU Green Deal</w:t>
            </w:r>
          </w:p>
        </w:tc>
        <w:tc>
          <w:tcPr>
            <w:tcW w:w="1417" w:type="dxa"/>
          </w:tcPr>
          <w:p w14:paraId="6C88306B" w14:textId="011F6256" w:rsidR="00F84282" w:rsidRPr="00927518" w:rsidRDefault="00F84282" w:rsidP="00F84282">
            <w:pPr>
              <w:rPr>
                <w:b/>
                <w:bCs/>
              </w:rPr>
            </w:pPr>
            <w:r w:rsidRPr="00927518">
              <w:t>Climate Policy Across Sectors</w:t>
            </w:r>
          </w:p>
        </w:tc>
        <w:tc>
          <w:tcPr>
            <w:tcW w:w="1554" w:type="dxa"/>
          </w:tcPr>
          <w:p w14:paraId="3FB65EC6" w14:textId="06E7A0E7" w:rsidR="00F84282" w:rsidRPr="00927518" w:rsidRDefault="00F84282" w:rsidP="00F84282">
            <w:pPr>
              <w:rPr>
                <w:b/>
                <w:bCs/>
              </w:rPr>
            </w:pPr>
            <w:r w:rsidRPr="00927518">
              <w:t>Instruments</w:t>
            </w:r>
          </w:p>
        </w:tc>
        <w:tc>
          <w:tcPr>
            <w:tcW w:w="1646" w:type="dxa"/>
          </w:tcPr>
          <w:p w14:paraId="525EACF7" w14:textId="36C39650" w:rsidR="00F84282" w:rsidRPr="00927518" w:rsidRDefault="00F84282" w:rsidP="00F84282">
            <w:r w:rsidRPr="00927518">
              <w:t>Group presentations</w:t>
            </w:r>
          </w:p>
        </w:tc>
        <w:tc>
          <w:tcPr>
            <w:tcW w:w="1886" w:type="dxa"/>
          </w:tcPr>
          <w:p w14:paraId="151E742C" w14:textId="24130151" w:rsidR="00F84282" w:rsidRPr="00927518" w:rsidRDefault="00F84282" w:rsidP="00F84282">
            <w:pPr>
              <w:rPr>
                <w:b/>
                <w:bCs/>
              </w:rPr>
            </w:pPr>
          </w:p>
        </w:tc>
      </w:tr>
      <w:tr w:rsidR="008B0EF5" w:rsidRPr="00927518" w14:paraId="4F769EA0" w14:textId="77777777" w:rsidTr="00F84282">
        <w:tc>
          <w:tcPr>
            <w:tcW w:w="1313" w:type="dxa"/>
          </w:tcPr>
          <w:p w14:paraId="6C5C81B1" w14:textId="5AFF8B30" w:rsidR="008B0EF5" w:rsidRPr="00927518" w:rsidRDefault="008B0EF5" w:rsidP="008B0EF5">
            <w:pPr>
              <w:rPr>
                <w:b/>
                <w:bCs/>
              </w:rPr>
            </w:pPr>
            <w:r w:rsidRPr="00927518">
              <w:rPr>
                <w:b/>
                <w:bCs/>
              </w:rPr>
              <w:t>14:30 – 15:00</w:t>
            </w:r>
          </w:p>
        </w:tc>
        <w:tc>
          <w:tcPr>
            <w:tcW w:w="1534" w:type="dxa"/>
          </w:tcPr>
          <w:p w14:paraId="33E8436F" w14:textId="3418E5CB" w:rsidR="008B0EF5" w:rsidRPr="008B0EF5" w:rsidRDefault="008B0EF5" w:rsidP="008B0EF5">
            <w:r w:rsidRPr="008B0EF5">
              <w:t>Work in groups</w:t>
            </w:r>
          </w:p>
        </w:tc>
        <w:tc>
          <w:tcPr>
            <w:tcW w:w="1417" w:type="dxa"/>
          </w:tcPr>
          <w:p w14:paraId="706FD4F5" w14:textId="743F5D3C" w:rsidR="008B0EF5" w:rsidRPr="008B0EF5" w:rsidRDefault="008B0EF5" w:rsidP="008B0EF5">
            <w:r w:rsidRPr="008B0EF5">
              <w:t>Work in groups</w:t>
            </w:r>
          </w:p>
        </w:tc>
        <w:tc>
          <w:tcPr>
            <w:tcW w:w="1554" w:type="dxa"/>
          </w:tcPr>
          <w:p w14:paraId="0D49C0D4" w14:textId="3DE8AAAD" w:rsidR="008B0EF5" w:rsidRPr="008B0EF5" w:rsidRDefault="008B0EF5" w:rsidP="008B0EF5">
            <w:r w:rsidRPr="008B0EF5">
              <w:t>Work in groups</w:t>
            </w:r>
          </w:p>
        </w:tc>
        <w:tc>
          <w:tcPr>
            <w:tcW w:w="1646" w:type="dxa"/>
          </w:tcPr>
          <w:p w14:paraId="61774860" w14:textId="1E7C3CA5" w:rsidR="008B0EF5" w:rsidRPr="00927518" w:rsidRDefault="008B0EF5" w:rsidP="008B0EF5">
            <w:r w:rsidRPr="00927518">
              <w:t>Group presentations</w:t>
            </w:r>
          </w:p>
        </w:tc>
        <w:tc>
          <w:tcPr>
            <w:tcW w:w="1886" w:type="dxa"/>
          </w:tcPr>
          <w:p w14:paraId="38207007" w14:textId="77777777" w:rsidR="008B0EF5" w:rsidRPr="00927518" w:rsidRDefault="008B0EF5" w:rsidP="008B0EF5">
            <w:pPr>
              <w:rPr>
                <w:b/>
                <w:bCs/>
              </w:rPr>
            </w:pPr>
          </w:p>
        </w:tc>
      </w:tr>
    </w:tbl>
    <w:p w14:paraId="24819FB0" w14:textId="328095B3" w:rsidR="00A02775" w:rsidRPr="00927518" w:rsidRDefault="00A02775" w:rsidP="00675007">
      <w:pPr>
        <w:rPr>
          <w:b/>
          <w:bCs/>
        </w:rPr>
      </w:pPr>
    </w:p>
    <w:p w14:paraId="5FB0A30C" w14:textId="77777777" w:rsidR="00CE5D48" w:rsidRPr="00927518" w:rsidRDefault="00CE5D48" w:rsidP="00675007">
      <w:pPr>
        <w:rPr>
          <w:b/>
          <w:bCs/>
        </w:rPr>
      </w:pPr>
    </w:p>
    <w:p w14:paraId="7FF904D0" w14:textId="77777777" w:rsidR="00825F99" w:rsidRPr="00927518" w:rsidRDefault="00825F99" w:rsidP="00825F99">
      <w:pPr>
        <w:spacing w:before="100" w:beforeAutospacing="1" w:after="100" w:afterAutospacing="1" w:line="240" w:lineRule="auto"/>
        <w:outlineLvl w:val="1"/>
        <w:rPr>
          <w:rFonts w:eastAsia="Times New Roman" w:cs="Times New Roman"/>
          <w:b/>
          <w:bCs/>
          <w:kern w:val="0"/>
          <w:sz w:val="36"/>
          <w:szCs w:val="36"/>
          <w14:ligatures w14:val="none"/>
        </w:rPr>
      </w:pPr>
      <w:r w:rsidRPr="00927518">
        <w:rPr>
          <w:rFonts w:ascii="Segoe UI Emoji" w:eastAsia="Times New Roman" w:hAnsi="Segoe UI Emoji" w:cs="Segoe UI Emoji"/>
          <w:b/>
          <w:bCs/>
          <w:kern w:val="0"/>
          <w:sz w:val="36"/>
          <w:szCs w:val="36"/>
          <w14:ligatures w14:val="none"/>
        </w:rPr>
        <w:t>📘</w:t>
      </w:r>
      <w:r w:rsidRPr="00927518">
        <w:rPr>
          <w:rFonts w:eastAsia="Times New Roman" w:cs="Times New Roman"/>
          <w:b/>
          <w:bCs/>
          <w:kern w:val="0"/>
          <w:sz w:val="36"/>
          <w:szCs w:val="36"/>
          <w14:ligatures w14:val="none"/>
        </w:rPr>
        <w:t xml:space="preserve"> Day 1: Introduction to EU Climate Policy</w:t>
      </w:r>
    </w:p>
    <w:p w14:paraId="0F3AA982" w14:textId="59451CEF" w:rsidR="00825F99" w:rsidRPr="00927518" w:rsidRDefault="00825F99" w:rsidP="00825F99">
      <w:pPr>
        <w:spacing w:before="100" w:beforeAutospacing="1" w:after="100" w:afterAutospacing="1" w:line="240" w:lineRule="auto"/>
        <w:rPr>
          <w:rFonts w:eastAsia="Times New Roman" w:cs="Times New Roman"/>
          <w:kern w:val="0"/>
          <w14:ligatures w14:val="none"/>
        </w:rPr>
      </w:pPr>
      <w:r w:rsidRPr="00927518">
        <w:rPr>
          <w:b/>
          <w:bCs/>
        </w:rPr>
        <w:t xml:space="preserve">9:00-10:30 </w:t>
      </w:r>
      <w:r w:rsidRPr="00927518">
        <w:rPr>
          <w:rFonts w:eastAsia="Times New Roman" w:cs="Times New Roman"/>
          <w:b/>
          <w:bCs/>
          <w:kern w:val="0"/>
          <w14:ligatures w14:val="none"/>
        </w:rPr>
        <w:t xml:space="preserve">Session 1: </w:t>
      </w:r>
      <w:r w:rsidR="00A65133" w:rsidRPr="00927518">
        <w:rPr>
          <w:rFonts w:eastAsia="Times New Roman" w:cs="Times New Roman"/>
          <w:b/>
          <w:bCs/>
          <w:kern w:val="0"/>
          <w14:ligatures w14:val="none"/>
        </w:rPr>
        <w:t xml:space="preserve">Course Introduction, </w:t>
      </w:r>
      <w:r w:rsidRPr="00927518">
        <w:rPr>
          <w:rFonts w:eastAsia="Times New Roman" w:cs="Times New Roman"/>
          <w:b/>
          <w:bCs/>
          <w:kern w:val="0"/>
          <w14:ligatures w14:val="none"/>
        </w:rPr>
        <w:t>EU Climate Policy Foundations</w:t>
      </w:r>
    </w:p>
    <w:p w14:paraId="50094ADF" w14:textId="77777777" w:rsidR="001C54D0" w:rsidRPr="00927518" w:rsidRDefault="00825F99" w:rsidP="001C54D0">
      <w:pPr>
        <w:numPr>
          <w:ilvl w:val="0"/>
          <w:numId w:val="14"/>
        </w:num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t>Learning Objective:</w:t>
      </w:r>
      <w:r w:rsidRPr="00927518">
        <w:rPr>
          <w:rFonts w:eastAsia="Times New Roman" w:cs="Times New Roman"/>
          <w:kern w:val="0"/>
          <w14:ligatures w14:val="none"/>
        </w:rPr>
        <w:t xml:space="preserve"> Understand the historical and institutional development of EU climate policy.</w:t>
      </w:r>
    </w:p>
    <w:p w14:paraId="6D66576C" w14:textId="6FC41291" w:rsidR="001C54D0" w:rsidRPr="00927518" w:rsidRDefault="001C54D0" w:rsidP="001C54D0">
      <w:pPr>
        <w:numPr>
          <w:ilvl w:val="0"/>
          <w:numId w:val="14"/>
        </w:numPr>
        <w:spacing w:before="100" w:beforeAutospacing="1" w:after="100" w:afterAutospacing="1" w:line="240" w:lineRule="auto"/>
        <w:rPr>
          <w:rFonts w:eastAsia="Times New Roman" w:cs="Times New Roman"/>
          <w:kern w:val="0"/>
          <w14:ligatures w14:val="none"/>
        </w:rPr>
      </w:pPr>
      <w:r w:rsidRPr="00927518">
        <w:rPr>
          <w:b/>
          <w:bCs/>
        </w:rPr>
        <w:t>Start video:</w:t>
      </w:r>
      <w:r w:rsidRPr="00927518">
        <w:t xml:space="preserve"> </w:t>
      </w:r>
      <w:hyperlink r:id="rId7" w:history="1">
        <w:r w:rsidRPr="00927518">
          <w:rPr>
            <w:rStyle w:val="Hyperlink"/>
          </w:rPr>
          <w:t>https://www.youtube.com/watch?v=e-OiG6p2dHQ</w:t>
        </w:r>
      </w:hyperlink>
      <w:r w:rsidRPr="00927518">
        <w:t xml:space="preserve"> </w:t>
      </w:r>
    </w:p>
    <w:p w14:paraId="48F113B8" w14:textId="77777777" w:rsidR="002E1FA2" w:rsidRPr="00927518" w:rsidRDefault="006C69DD" w:rsidP="00F84282">
      <w:p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t>Reading:</w:t>
      </w:r>
    </w:p>
    <w:p w14:paraId="2D1BB911" w14:textId="7ADC56CF" w:rsidR="002E1FA2" w:rsidRPr="00927518" w:rsidRDefault="002E1FA2" w:rsidP="00F84282">
      <w:pPr>
        <w:spacing w:before="100" w:beforeAutospacing="1" w:after="100" w:afterAutospacing="1" w:line="240" w:lineRule="auto"/>
        <w:rPr>
          <w:rFonts w:eastAsia="Times New Roman" w:cs="Times New Roman"/>
          <w:kern w:val="0"/>
          <w14:ligatures w14:val="none"/>
        </w:rPr>
      </w:pPr>
      <w:r w:rsidRPr="00927518">
        <w:rPr>
          <w:rFonts w:eastAsia="Times New Roman" w:cs="Times New Roman"/>
          <w:kern w:val="0"/>
          <w14:ligatures w14:val="none"/>
        </w:rPr>
        <w:t>Andrew Jordan and Tim Rayner. “The evolution of climate policy in the European Union: an historical overview”, in Climate Change Policy in the European Union eds. Andrew Jordan,</w:t>
      </w:r>
    </w:p>
    <w:p w14:paraId="1EFDDE57" w14:textId="18E524AD" w:rsidR="002E1FA2" w:rsidRPr="00927518" w:rsidRDefault="002E1FA2" w:rsidP="00F84282">
      <w:pPr>
        <w:spacing w:before="100" w:beforeAutospacing="1" w:after="100" w:afterAutospacing="1" w:line="240" w:lineRule="auto"/>
        <w:rPr>
          <w:rFonts w:eastAsia="Times New Roman" w:cs="Times New Roman"/>
          <w:kern w:val="0"/>
          <w14:ligatures w14:val="none"/>
        </w:rPr>
      </w:pPr>
      <w:r w:rsidRPr="00927518">
        <w:rPr>
          <w:rFonts w:eastAsia="Times New Roman" w:cs="Times New Roman"/>
          <w:kern w:val="0"/>
          <w14:ligatures w14:val="none"/>
        </w:rPr>
        <w:t xml:space="preserve">Dave Huitema, Harro van Asselt, Tim Rayner and Frans </w:t>
      </w:r>
      <w:proofErr w:type="gramStart"/>
      <w:r w:rsidRPr="00927518">
        <w:rPr>
          <w:rFonts w:eastAsia="Times New Roman" w:cs="Times New Roman"/>
          <w:kern w:val="0"/>
          <w14:ligatures w14:val="none"/>
        </w:rPr>
        <w:t>Berkhout.(</w:t>
      </w:r>
      <w:proofErr w:type="gramEnd"/>
      <w:r w:rsidRPr="00927518">
        <w:rPr>
          <w:rFonts w:eastAsia="Times New Roman" w:cs="Times New Roman"/>
          <w:kern w:val="0"/>
          <w14:ligatures w14:val="none"/>
        </w:rPr>
        <w:t>Cambridge: University Press, 2010), p.61</w:t>
      </w:r>
    </w:p>
    <w:p w14:paraId="40F247E3" w14:textId="3B5BA7CB" w:rsidR="00825F99" w:rsidRPr="00927518" w:rsidRDefault="00825F99" w:rsidP="00825F99">
      <w:pPr>
        <w:spacing w:before="100" w:beforeAutospacing="1" w:after="100" w:afterAutospacing="1" w:line="240" w:lineRule="auto"/>
        <w:rPr>
          <w:rFonts w:eastAsia="Times New Roman" w:cs="Times New Roman"/>
          <w:kern w:val="0"/>
          <w14:ligatures w14:val="none"/>
        </w:rPr>
      </w:pPr>
      <w:r w:rsidRPr="00927518">
        <w:rPr>
          <w:b/>
          <w:bCs/>
        </w:rPr>
        <w:t xml:space="preserve">11:00-12:30 </w:t>
      </w:r>
      <w:r w:rsidRPr="00927518">
        <w:rPr>
          <w:rFonts w:eastAsia="Times New Roman" w:cs="Times New Roman"/>
          <w:b/>
          <w:bCs/>
          <w:kern w:val="0"/>
          <w14:ligatures w14:val="none"/>
        </w:rPr>
        <w:t>Session 2: The European Green Deal</w:t>
      </w:r>
    </w:p>
    <w:p w14:paraId="29BC9EAA" w14:textId="77777777" w:rsidR="00825F99" w:rsidRPr="00927518" w:rsidRDefault="00825F99" w:rsidP="00825F99">
      <w:pPr>
        <w:numPr>
          <w:ilvl w:val="0"/>
          <w:numId w:val="15"/>
        </w:num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t>Learning Objective:</w:t>
      </w:r>
      <w:r w:rsidRPr="00927518">
        <w:rPr>
          <w:rFonts w:eastAsia="Times New Roman" w:cs="Times New Roman"/>
          <w:kern w:val="0"/>
          <w14:ligatures w14:val="none"/>
        </w:rPr>
        <w:t xml:space="preserve"> Analyze the goals and components of the EU Green Deal.</w:t>
      </w:r>
    </w:p>
    <w:p w14:paraId="441FB95F" w14:textId="77777777" w:rsidR="00825F99" w:rsidRPr="00927518" w:rsidRDefault="00825F99" w:rsidP="00825F99">
      <w:pPr>
        <w:numPr>
          <w:ilvl w:val="0"/>
          <w:numId w:val="15"/>
        </w:num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t>Content:</w:t>
      </w:r>
      <w:r w:rsidRPr="00927518">
        <w:rPr>
          <w:rFonts w:eastAsia="Times New Roman" w:cs="Times New Roman"/>
          <w:kern w:val="0"/>
          <w14:ligatures w14:val="none"/>
        </w:rPr>
        <w:t xml:space="preserve"> Fit for 55, climate neutrality by 2050, biodiversity, and circular economy.</w:t>
      </w:r>
    </w:p>
    <w:p w14:paraId="67B50300" w14:textId="77777777" w:rsidR="0073157D" w:rsidRPr="00927518" w:rsidRDefault="0073157D" w:rsidP="00B962A4">
      <w:p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lastRenderedPageBreak/>
        <w:t>Reading:</w:t>
      </w:r>
    </w:p>
    <w:p w14:paraId="05766EA2" w14:textId="77777777" w:rsidR="002136F1" w:rsidRPr="00927518" w:rsidRDefault="002136F1" w:rsidP="00B962A4">
      <w:pPr>
        <w:rPr>
          <w:rFonts w:cstheme="minorHAnsi"/>
          <w:color w:val="222222"/>
          <w:shd w:val="clear" w:color="auto" w:fill="FFFFFF"/>
        </w:rPr>
      </w:pPr>
      <w:r w:rsidRPr="00927518">
        <w:rPr>
          <w:rFonts w:cstheme="minorHAnsi"/>
        </w:rPr>
        <w:t>Communication from the Commission to the European Parliament, the European Council, the Council, the European Economic and Social Committee and the Committee of the Regions the European Green Deal, 2019</w:t>
      </w:r>
    </w:p>
    <w:p w14:paraId="007D774C" w14:textId="49CAD5BC" w:rsidR="002136F1" w:rsidRPr="00927518" w:rsidRDefault="002136F1" w:rsidP="00B962A4">
      <w:pPr>
        <w:rPr>
          <w:rFonts w:cstheme="minorHAnsi"/>
          <w:color w:val="222222"/>
          <w:shd w:val="clear" w:color="auto" w:fill="FFFFFF"/>
        </w:rPr>
      </w:pPr>
      <w:r w:rsidRPr="00927518">
        <w:rPr>
          <w:rFonts w:cstheme="minorHAnsi"/>
          <w:color w:val="222222"/>
          <w:shd w:val="clear" w:color="auto" w:fill="FFFFFF"/>
        </w:rPr>
        <w:t>Siddi, Marco. "The European Green Deal: Assessing its current state and future implementation." (2020).</w:t>
      </w:r>
    </w:p>
    <w:p w14:paraId="190C28B9" w14:textId="77777777" w:rsidR="00A642F8" w:rsidRPr="00927518" w:rsidRDefault="00CB410F" w:rsidP="0021064F">
      <w:pPr>
        <w:rPr>
          <w:rFonts w:cstheme="minorHAnsi"/>
          <w:color w:val="222222"/>
          <w:shd w:val="clear" w:color="auto" w:fill="FFFFFF"/>
        </w:rPr>
      </w:pPr>
      <w:r w:rsidRPr="00927518">
        <w:rPr>
          <w:rFonts w:cstheme="minorHAnsi"/>
          <w:b/>
          <w:bCs/>
          <w:color w:val="222222"/>
          <w:shd w:val="clear" w:color="auto" w:fill="FFFFFF"/>
        </w:rPr>
        <w:t>Bonus material:</w:t>
      </w:r>
      <w:r w:rsidRPr="00927518">
        <w:rPr>
          <w:rFonts w:cstheme="minorHAnsi"/>
          <w:color w:val="222222"/>
          <w:shd w:val="clear" w:color="auto" w:fill="FFFFFF"/>
        </w:rPr>
        <w:t xml:space="preserve"> </w:t>
      </w:r>
    </w:p>
    <w:p w14:paraId="52E1FB91" w14:textId="30A730E9" w:rsidR="0021064F" w:rsidRPr="00927518" w:rsidRDefault="0021064F" w:rsidP="00B962A4">
      <w:pPr>
        <w:rPr>
          <w:rFonts w:cstheme="minorHAnsi"/>
          <w:color w:val="222222"/>
          <w:shd w:val="clear" w:color="auto" w:fill="FFFFFF"/>
        </w:rPr>
      </w:pPr>
      <w:proofErr w:type="spellStart"/>
      <w:r w:rsidRPr="00927518">
        <w:rPr>
          <w:rFonts w:cstheme="minorHAnsi"/>
          <w:color w:val="222222"/>
          <w:shd w:val="clear" w:color="auto" w:fill="FFFFFF"/>
        </w:rPr>
        <w:t>Hainsch</w:t>
      </w:r>
      <w:proofErr w:type="spellEnd"/>
      <w:r w:rsidRPr="00927518">
        <w:rPr>
          <w:rFonts w:cstheme="minorHAnsi"/>
          <w:color w:val="222222"/>
          <w:shd w:val="clear" w:color="auto" w:fill="FFFFFF"/>
        </w:rPr>
        <w:t xml:space="preserve">, Karlo &amp; Löffler, Konstantin &amp; Burandt, Thorsten &amp; Auer, Hans &amp; Crespo del Granado, Pedro &amp; </w:t>
      </w:r>
      <w:proofErr w:type="spellStart"/>
      <w:r w:rsidRPr="00927518">
        <w:rPr>
          <w:rFonts w:cstheme="minorHAnsi"/>
          <w:color w:val="222222"/>
          <w:shd w:val="clear" w:color="auto" w:fill="FFFFFF"/>
        </w:rPr>
        <w:t>Pisciella</w:t>
      </w:r>
      <w:proofErr w:type="spellEnd"/>
      <w:r w:rsidRPr="00927518">
        <w:rPr>
          <w:rFonts w:cstheme="minorHAnsi"/>
          <w:color w:val="222222"/>
          <w:shd w:val="clear" w:color="auto" w:fill="FFFFFF"/>
        </w:rPr>
        <w:t xml:space="preserve">, Paolo &amp; Zwickl-Bernhard, Sebastian, 2022. "Energy transition scenarios: What policies, societal attitudes, and technology developments will realize the EU Green </w:t>
      </w:r>
      <w:proofErr w:type="gramStart"/>
      <w:r w:rsidRPr="00927518">
        <w:rPr>
          <w:rFonts w:cstheme="minorHAnsi"/>
          <w:color w:val="222222"/>
          <w:shd w:val="clear" w:color="auto" w:fill="FFFFFF"/>
        </w:rPr>
        <w:t>Deal?,</w:t>
      </w:r>
      <w:proofErr w:type="gramEnd"/>
      <w:r w:rsidRPr="00927518">
        <w:rPr>
          <w:rFonts w:cstheme="minorHAnsi"/>
          <w:color w:val="222222"/>
          <w:shd w:val="clear" w:color="auto" w:fill="FFFFFF"/>
        </w:rPr>
        <w:t>" Energy, Elsevier, vol. 239(PC).</w:t>
      </w:r>
    </w:p>
    <w:p w14:paraId="4D7447D6" w14:textId="03F3F207" w:rsidR="00F827F5" w:rsidRPr="00927518" w:rsidRDefault="00F827F5" w:rsidP="00B962A4">
      <w:pPr>
        <w:rPr>
          <w:rFonts w:cstheme="minorHAnsi"/>
          <w:color w:val="222222"/>
          <w:shd w:val="clear" w:color="auto" w:fill="FFFFFF"/>
        </w:rPr>
      </w:pPr>
      <w:r w:rsidRPr="00927518">
        <w:rPr>
          <w:rFonts w:cstheme="minorHAnsi"/>
          <w:color w:val="222222"/>
          <w:shd w:val="clear" w:color="auto" w:fill="FFFFFF"/>
        </w:rPr>
        <w:t>Progress Report 2024, Leading the way: from plans to implementation for a green and competitive Europe Climate Action</w:t>
      </w:r>
    </w:p>
    <w:p w14:paraId="191D6C24" w14:textId="427CD5F3" w:rsidR="00CB410F" w:rsidRPr="00927518" w:rsidRDefault="00CB410F" w:rsidP="0021064F">
      <w:pPr>
        <w:pStyle w:val="ListParagraph"/>
        <w:rPr>
          <w:rFonts w:cstheme="minorHAnsi"/>
          <w:color w:val="222222"/>
          <w:shd w:val="clear" w:color="auto" w:fill="FFFFFF"/>
        </w:rPr>
      </w:pPr>
    </w:p>
    <w:p w14:paraId="621AB1C5" w14:textId="77777777" w:rsidR="00A83648" w:rsidRPr="00927518" w:rsidRDefault="00A83648" w:rsidP="00A83648">
      <w:r w:rsidRPr="00927518">
        <w:rPr>
          <w:b/>
          <w:bCs/>
        </w:rPr>
        <w:t>End video:</w:t>
      </w:r>
      <w:r w:rsidRPr="00927518">
        <w:t xml:space="preserve"> </w:t>
      </w:r>
      <w:hyperlink r:id="rId8" w:history="1">
        <w:r w:rsidRPr="00927518">
          <w:rPr>
            <w:rStyle w:val="Hyperlink"/>
          </w:rPr>
          <w:t>https://www.youtube.com/watch?v=cBU48JHJ-4M</w:t>
        </w:r>
      </w:hyperlink>
      <w:r w:rsidRPr="00927518">
        <w:t xml:space="preserve"> </w:t>
      </w:r>
    </w:p>
    <w:p w14:paraId="6A16FD54" w14:textId="6E818985" w:rsidR="00825F99" w:rsidRPr="00927518" w:rsidRDefault="00825F99" w:rsidP="00825F99">
      <w:pPr>
        <w:spacing w:before="100" w:beforeAutospacing="1" w:after="100" w:afterAutospacing="1" w:line="240" w:lineRule="auto"/>
        <w:rPr>
          <w:rFonts w:eastAsia="Times New Roman" w:cs="Times New Roman"/>
          <w:kern w:val="0"/>
          <w14:ligatures w14:val="none"/>
        </w:rPr>
      </w:pPr>
      <w:r w:rsidRPr="00927518">
        <w:rPr>
          <w:b/>
          <w:bCs/>
        </w:rPr>
        <w:t xml:space="preserve">13:30-14:30 </w:t>
      </w:r>
      <w:r w:rsidRPr="00927518">
        <w:rPr>
          <w:rFonts w:eastAsia="Times New Roman" w:cs="Times New Roman"/>
          <w:b/>
          <w:bCs/>
          <w:kern w:val="0"/>
          <w14:ligatures w14:val="none"/>
        </w:rPr>
        <w:t xml:space="preserve">Session 3: </w:t>
      </w:r>
      <w:r w:rsidR="00006AF9" w:rsidRPr="00927518">
        <w:rPr>
          <w:rFonts w:eastAsia="Times New Roman" w:cs="Times New Roman"/>
          <w:b/>
          <w:bCs/>
          <w:kern w:val="0"/>
          <w14:ligatures w14:val="none"/>
        </w:rPr>
        <w:t>Group work sessions</w:t>
      </w:r>
    </w:p>
    <w:p w14:paraId="0F0172FC" w14:textId="02D8F875" w:rsidR="00825F99" w:rsidRPr="00F52825" w:rsidRDefault="00D15073" w:rsidP="00825F99">
      <w:pPr>
        <w:numPr>
          <w:ilvl w:val="0"/>
          <w:numId w:val="16"/>
        </w:numPr>
        <w:spacing w:before="100" w:beforeAutospacing="1" w:after="100" w:afterAutospacing="1" w:line="240" w:lineRule="auto"/>
        <w:rPr>
          <w:rFonts w:eastAsia="Times New Roman" w:cs="Times New Roman"/>
          <w:kern w:val="0"/>
          <w14:ligatures w14:val="none"/>
        </w:rPr>
      </w:pPr>
      <w:r w:rsidRPr="00F52825">
        <w:rPr>
          <w:rFonts w:eastAsia="Times New Roman" w:cs="Times New Roman"/>
          <w:b/>
          <w:bCs/>
          <w:kern w:val="0"/>
          <w14:ligatures w14:val="none"/>
        </w:rPr>
        <w:t>Group task</w:t>
      </w:r>
      <w:r w:rsidR="00802993" w:rsidRPr="00F52825">
        <w:rPr>
          <w:rFonts w:eastAsia="Times New Roman" w:cs="Times New Roman"/>
          <w:b/>
          <w:bCs/>
          <w:kern w:val="0"/>
          <w14:ligatures w14:val="none"/>
        </w:rPr>
        <w:t xml:space="preserve">: Develop a climate policy for CA state </w:t>
      </w:r>
    </w:p>
    <w:p w14:paraId="00F737BA" w14:textId="77777777" w:rsidR="00825F99" w:rsidRPr="00927518" w:rsidRDefault="00000000" w:rsidP="00825F99">
      <w:pPr>
        <w:spacing w:after="0" w:line="240" w:lineRule="auto"/>
        <w:rPr>
          <w:rFonts w:eastAsia="Times New Roman" w:cs="Times New Roman"/>
          <w:kern w:val="0"/>
          <w14:ligatures w14:val="none"/>
        </w:rPr>
      </w:pPr>
      <w:r>
        <w:rPr>
          <w:rFonts w:eastAsia="Times New Roman" w:cs="Times New Roman"/>
          <w:kern w:val="0"/>
          <w14:ligatures w14:val="none"/>
        </w:rPr>
        <w:pict w14:anchorId="1333DD02">
          <v:rect id="_x0000_i1029" style="width:0;height:1.5pt" o:hralign="center" o:hrstd="t" o:hr="t" fillcolor="#a0a0a0" stroked="f"/>
        </w:pict>
      </w:r>
    </w:p>
    <w:p w14:paraId="27219730" w14:textId="77777777" w:rsidR="00825F99" w:rsidRPr="00927518" w:rsidRDefault="00825F99" w:rsidP="00825F99">
      <w:pPr>
        <w:spacing w:before="100" w:beforeAutospacing="1" w:after="100" w:afterAutospacing="1" w:line="240" w:lineRule="auto"/>
        <w:outlineLvl w:val="1"/>
        <w:rPr>
          <w:rFonts w:eastAsia="Times New Roman" w:cs="Times New Roman"/>
          <w:b/>
          <w:bCs/>
          <w:kern w:val="0"/>
          <w:sz w:val="36"/>
          <w:szCs w:val="36"/>
          <w14:ligatures w14:val="none"/>
        </w:rPr>
      </w:pPr>
      <w:r w:rsidRPr="00927518">
        <w:rPr>
          <w:rFonts w:ascii="Segoe UI Emoji" w:eastAsia="Times New Roman" w:hAnsi="Segoe UI Emoji" w:cs="Segoe UI Emoji"/>
          <w:b/>
          <w:bCs/>
          <w:kern w:val="0"/>
          <w:sz w:val="36"/>
          <w:szCs w:val="36"/>
          <w14:ligatures w14:val="none"/>
        </w:rPr>
        <w:t>🌿</w:t>
      </w:r>
      <w:r w:rsidRPr="00927518">
        <w:rPr>
          <w:rFonts w:eastAsia="Times New Roman" w:cs="Times New Roman"/>
          <w:b/>
          <w:bCs/>
          <w:kern w:val="0"/>
          <w:sz w:val="36"/>
          <w:szCs w:val="36"/>
          <w14:ligatures w14:val="none"/>
        </w:rPr>
        <w:t xml:space="preserve"> Day 2: Climate Policy Across Sectors</w:t>
      </w:r>
    </w:p>
    <w:p w14:paraId="4EB1E441" w14:textId="1B7F9FA8" w:rsidR="00825F99" w:rsidRPr="00927518" w:rsidRDefault="00A862F4" w:rsidP="00825F99">
      <w:pPr>
        <w:spacing w:before="100" w:beforeAutospacing="1" w:after="100" w:afterAutospacing="1" w:line="240" w:lineRule="auto"/>
        <w:rPr>
          <w:rFonts w:eastAsia="Times New Roman" w:cs="Times New Roman"/>
          <w:kern w:val="0"/>
          <w14:ligatures w14:val="none"/>
        </w:rPr>
      </w:pPr>
      <w:r w:rsidRPr="00927518">
        <w:rPr>
          <w:b/>
          <w:bCs/>
        </w:rPr>
        <w:t>9:00-</w:t>
      </w:r>
      <w:proofErr w:type="gramStart"/>
      <w:r w:rsidRPr="00927518">
        <w:rPr>
          <w:b/>
          <w:bCs/>
        </w:rPr>
        <w:t xml:space="preserve">10:30  </w:t>
      </w:r>
      <w:r w:rsidR="00825F99" w:rsidRPr="00927518">
        <w:rPr>
          <w:rFonts w:eastAsia="Times New Roman" w:cs="Times New Roman"/>
          <w:b/>
          <w:bCs/>
          <w:kern w:val="0"/>
          <w14:ligatures w14:val="none"/>
        </w:rPr>
        <w:t>Session</w:t>
      </w:r>
      <w:proofErr w:type="gramEnd"/>
      <w:r w:rsidR="00825F99" w:rsidRPr="00927518">
        <w:rPr>
          <w:rFonts w:eastAsia="Times New Roman" w:cs="Times New Roman"/>
          <w:b/>
          <w:bCs/>
          <w:kern w:val="0"/>
          <w14:ligatures w14:val="none"/>
        </w:rPr>
        <w:t xml:space="preserve"> 1: Energy and Industry</w:t>
      </w:r>
    </w:p>
    <w:p w14:paraId="198E7276" w14:textId="36239B8D" w:rsidR="00825F99" w:rsidRPr="00927518" w:rsidRDefault="00825F99" w:rsidP="00825F99">
      <w:pPr>
        <w:numPr>
          <w:ilvl w:val="0"/>
          <w:numId w:val="17"/>
        </w:num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t>Learning Objective:</w:t>
      </w:r>
      <w:r w:rsidRPr="00927518">
        <w:rPr>
          <w:rFonts w:eastAsia="Times New Roman" w:cs="Times New Roman"/>
          <w:kern w:val="0"/>
          <w14:ligatures w14:val="none"/>
        </w:rPr>
        <w:t xml:space="preserve"> Explore the decarbonization of energy systems and industry.</w:t>
      </w:r>
    </w:p>
    <w:p w14:paraId="08C9D6C3" w14:textId="77777777" w:rsidR="00825F99" w:rsidRPr="00927518" w:rsidRDefault="00825F99" w:rsidP="00825F99">
      <w:pPr>
        <w:numPr>
          <w:ilvl w:val="0"/>
          <w:numId w:val="17"/>
        </w:num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t>Content:</w:t>
      </w:r>
      <w:r w:rsidRPr="00927518">
        <w:rPr>
          <w:rFonts w:eastAsia="Times New Roman" w:cs="Times New Roman"/>
          <w:kern w:val="0"/>
          <w14:ligatures w14:val="none"/>
        </w:rPr>
        <w:t xml:space="preserve"> Renewable energy targets, energy efficiency, carbon leakage.</w:t>
      </w:r>
    </w:p>
    <w:p w14:paraId="4240ABAA" w14:textId="68CB14C5" w:rsidR="00825F99" w:rsidRPr="00927518" w:rsidRDefault="00C346C6" w:rsidP="00270F19">
      <w:p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t>Reading:</w:t>
      </w:r>
      <w:r w:rsidRPr="00927518">
        <w:rPr>
          <w:rFonts w:eastAsia="Times New Roman" w:cs="Times New Roman"/>
          <w:kern w:val="0"/>
          <w14:ligatures w14:val="none"/>
        </w:rPr>
        <w:t xml:space="preserve"> </w:t>
      </w:r>
    </w:p>
    <w:p w14:paraId="1DA44468" w14:textId="26BD69D4" w:rsidR="00B962A4" w:rsidRPr="00927518" w:rsidRDefault="00B962A4" w:rsidP="00B962A4">
      <w:pPr>
        <w:rPr>
          <w:rFonts w:cstheme="minorHAnsi"/>
        </w:rPr>
      </w:pPr>
      <w:r w:rsidRPr="00927518">
        <w:rPr>
          <w:rFonts w:cstheme="minorHAnsi"/>
        </w:rPr>
        <w:t>EU Climate and Energy Policy Beyond 2020: Are Additional Targets and Instruments for Renewables Economically Reasonable? Paul Lehmann, Erik Gawel, and Sebastian Strunz, 2019</w:t>
      </w:r>
    </w:p>
    <w:p w14:paraId="708B9132" w14:textId="60983BB3" w:rsidR="00B962A4" w:rsidRPr="00927518" w:rsidRDefault="00B962A4" w:rsidP="00B962A4">
      <w:pPr>
        <w:rPr>
          <w:rFonts w:cstheme="minorHAnsi"/>
        </w:rPr>
      </w:pPr>
      <w:r w:rsidRPr="00927518">
        <w:rPr>
          <w:rFonts w:cstheme="minorHAnsi"/>
        </w:rPr>
        <w:t xml:space="preserve">Ingmar von Homeyer, Sebastian </w:t>
      </w:r>
      <w:proofErr w:type="spellStart"/>
      <w:r w:rsidRPr="00927518">
        <w:rPr>
          <w:rFonts w:cstheme="minorHAnsi"/>
        </w:rPr>
        <w:t>Oberthür</w:t>
      </w:r>
      <w:proofErr w:type="spellEnd"/>
      <w:r w:rsidRPr="00927518">
        <w:rPr>
          <w:rFonts w:cstheme="minorHAnsi"/>
        </w:rPr>
        <w:t xml:space="preserve"> &amp; Andrew J. Jordan (2021) EU climate and energy governance in times of crisis: towards a new agenda, Journal of European Public Policy, 28:7, 959-979, DOI: 10.1080/13501763.2021.1918221</w:t>
      </w:r>
    </w:p>
    <w:p w14:paraId="11D4530E" w14:textId="77777777" w:rsidR="00B962A4" w:rsidRPr="00927518" w:rsidRDefault="00B962A4" w:rsidP="00B962A4">
      <w:pPr>
        <w:rPr>
          <w:rFonts w:cstheme="minorHAnsi"/>
        </w:rPr>
      </w:pPr>
      <w:r w:rsidRPr="00927518">
        <w:rPr>
          <w:rFonts w:cstheme="minorHAnsi"/>
        </w:rPr>
        <w:lastRenderedPageBreak/>
        <w:t xml:space="preserve">Meyer-Ohlendorf, Nils; Matthias Duwe; Katharina </w:t>
      </w:r>
      <w:proofErr w:type="spellStart"/>
      <w:r w:rsidRPr="00927518">
        <w:rPr>
          <w:rFonts w:cstheme="minorHAnsi"/>
        </w:rPr>
        <w:t>Umpfenbach</w:t>
      </w:r>
      <w:proofErr w:type="spellEnd"/>
      <w:r w:rsidRPr="00927518">
        <w:rPr>
          <w:rFonts w:cstheme="minorHAnsi"/>
        </w:rPr>
        <w:t xml:space="preserve"> and Keighley McFarland 2014: The Next EU Climate and Energy Package – EU Climate Policies after 2020, Ecologic Institute, Berlin.</w:t>
      </w:r>
    </w:p>
    <w:p w14:paraId="51507B44" w14:textId="77777777" w:rsidR="00B962A4" w:rsidRPr="00927518" w:rsidRDefault="00B962A4" w:rsidP="00B962A4">
      <w:pPr>
        <w:rPr>
          <w:rFonts w:cstheme="minorHAnsi"/>
        </w:rPr>
      </w:pPr>
      <w:r w:rsidRPr="00927518">
        <w:rPr>
          <w:rFonts w:cstheme="minorHAnsi"/>
        </w:rPr>
        <w:t xml:space="preserve">Supply of renewable energy sources and the cost of EU climate policy. Stefan </w:t>
      </w:r>
      <w:proofErr w:type="spellStart"/>
      <w:proofErr w:type="gramStart"/>
      <w:r w:rsidRPr="00927518">
        <w:rPr>
          <w:rFonts w:cstheme="minorHAnsi"/>
        </w:rPr>
        <w:t>Boeters</w:t>
      </w:r>
      <w:proofErr w:type="spellEnd"/>
      <w:r w:rsidRPr="00927518">
        <w:rPr>
          <w:rFonts w:cstheme="minorHAnsi"/>
        </w:rPr>
        <w:t xml:space="preserve"> ,</w:t>
      </w:r>
      <w:proofErr w:type="gramEnd"/>
      <w:r w:rsidRPr="00927518">
        <w:rPr>
          <w:rFonts w:cstheme="minorHAnsi"/>
        </w:rPr>
        <w:t xml:space="preserve"> Joris </w:t>
      </w:r>
      <w:proofErr w:type="spellStart"/>
      <w:r w:rsidRPr="00927518">
        <w:rPr>
          <w:rFonts w:cstheme="minorHAnsi"/>
        </w:rPr>
        <w:t>Koornneef</w:t>
      </w:r>
      <w:proofErr w:type="spellEnd"/>
      <w:r w:rsidRPr="00927518">
        <w:rPr>
          <w:rFonts w:cstheme="minorHAnsi"/>
        </w:rPr>
        <w:t>, 2011</w:t>
      </w:r>
    </w:p>
    <w:p w14:paraId="678B6931" w14:textId="77777777" w:rsidR="00B962A4" w:rsidRPr="00927518" w:rsidRDefault="00B962A4" w:rsidP="00B962A4">
      <w:pPr>
        <w:rPr>
          <w:rFonts w:cstheme="minorHAnsi"/>
        </w:rPr>
      </w:pPr>
      <w:r w:rsidRPr="00927518">
        <w:rPr>
          <w:rFonts w:cstheme="minorHAnsi"/>
        </w:rPr>
        <w:t xml:space="preserve">Review of 50 years of EU energy efficiency policies for buildings. M. </w:t>
      </w:r>
      <w:proofErr w:type="spellStart"/>
      <w:r w:rsidRPr="00927518">
        <w:rPr>
          <w:rFonts w:cstheme="minorHAnsi"/>
        </w:rPr>
        <w:t>Economidou</w:t>
      </w:r>
      <w:proofErr w:type="spellEnd"/>
      <w:r w:rsidRPr="00927518">
        <w:rPr>
          <w:rFonts w:cstheme="minorHAnsi"/>
        </w:rPr>
        <w:t xml:space="preserve">, V. Todeschi, P. Bertoldi, D. D’Agostino, P. </w:t>
      </w:r>
      <w:proofErr w:type="spellStart"/>
      <w:r w:rsidRPr="00927518">
        <w:rPr>
          <w:rFonts w:cstheme="minorHAnsi"/>
        </w:rPr>
        <w:t>Zangheri</w:t>
      </w:r>
      <w:proofErr w:type="spellEnd"/>
      <w:r w:rsidRPr="00927518">
        <w:rPr>
          <w:rFonts w:cstheme="minorHAnsi"/>
        </w:rPr>
        <w:t xml:space="preserve">, L. </w:t>
      </w:r>
      <w:proofErr w:type="spellStart"/>
      <w:r w:rsidRPr="00927518">
        <w:rPr>
          <w:rFonts w:cstheme="minorHAnsi"/>
        </w:rPr>
        <w:t>Castellazzi</w:t>
      </w:r>
      <w:proofErr w:type="spellEnd"/>
      <w:r w:rsidRPr="00927518">
        <w:rPr>
          <w:rFonts w:cstheme="minorHAnsi"/>
        </w:rPr>
        <w:t xml:space="preserve">, 2022 </w:t>
      </w:r>
    </w:p>
    <w:p w14:paraId="010EFF81" w14:textId="77777777" w:rsidR="00B962A4" w:rsidRPr="00927518" w:rsidRDefault="00B962A4" w:rsidP="00B962A4">
      <w:pPr>
        <w:rPr>
          <w:rFonts w:cstheme="minorHAnsi"/>
        </w:rPr>
      </w:pPr>
      <w:r w:rsidRPr="00927518">
        <w:rPr>
          <w:rFonts w:cstheme="minorHAnsi"/>
        </w:rPr>
        <w:t xml:space="preserve">Nature-Based Solutions in the EU: Innovating with nature to address social, economic and environmental challenges Nicolas Faivre, Marco Fritz, Tiago Freitas, Birgit de </w:t>
      </w:r>
      <w:proofErr w:type="spellStart"/>
      <w:r w:rsidRPr="00927518">
        <w:rPr>
          <w:rFonts w:cstheme="minorHAnsi"/>
        </w:rPr>
        <w:t>Boissezon</w:t>
      </w:r>
      <w:proofErr w:type="spellEnd"/>
      <w:r w:rsidRPr="00927518">
        <w:rPr>
          <w:rFonts w:cstheme="minorHAnsi"/>
        </w:rPr>
        <w:t xml:space="preserve">, Sofie </w:t>
      </w:r>
      <w:proofErr w:type="spellStart"/>
      <w:r w:rsidRPr="00927518">
        <w:rPr>
          <w:rFonts w:cstheme="minorHAnsi"/>
        </w:rPr>
        <w:t>Vandewoestijne</w:t>
      </w:r>
      <w:proofErr w:type="spellEnd"/>
      <w:r w:rsidRPr="00927518">
        <w:rPr>
          <w:rFonts w:cstheme="minorHAnsi"/>
        </w:rPr>
        <w:t>, 2017</w:t>
      </w:r>
    </w:p>
    <w:p w14:paraId="4934FB55" w14:textId="28E86512" w:rsidR="00B962A4" w:rsidRPr="00927518" w:rsidRDefault="00B962A4" w:rsidP="00B962A4">
      <w:pPr>
        <w:rPr>
          <w:rFonts w:cstheme="minorHAnsi"/>
        </w:rPr>
      </w:pPr>
      <w:r w:rsidRPr="00927518">
        <w:rPr>
          <w:rFonts w:cstheme="minorHAnsi"/>
        </w:rPr>
        <w:t>Linking EU climate and energy policies: policy-</w:t>
      </w:r>
      <w:proofErr w:type="spellStart"/>
      <w:proofErr w:type="gramStart"/>
      <w:r w:rsidRPr="00927518">
        <w:rPr>
          <w:rFonts w:cstheme="minorHAnsi"/>
        </w:rPr>
        <w:t>making,implementation</w:t>
      </w:r>
      <w:proofErr w:type="spellEnd"/>
      <w:proofErr w:type="gramEnd"/>
      <w:r w:rsidRPr="00927518">
        <w:rPr>
          <w:rFonts w:cstheme="minorHAnsi"/>
        </w:rPr>
        <w:t xml:space="preserve"> and reform Jon Birger </w:t>
      </w:r>
      <w:proofErr w:type="spellStart"/>
      <w:r w:rsidRPr="00927518">
        <w:rPr>
          <w:rFonts w:cstheme="minorHAnsi"/>
        </w:rPr>
        <w:t>Skjærseth</w:t>
      </w:r>
      <w:proofErr w:type="spellEnd"/>
      <w:r w:rsidRPr="00927518">
        <w:rPr>
          <w:rFonts w:cstheme="minorHAnsi"/>
        </w:rPr>
        <w:t>, 2014</w:t>
      </w:r>
    </w:p>
    <w:p w14:paraId="1D916AA8" w14:textId="77777777" w:rsidR="00B962A4" w:rsidRPr="00927518" w:rsidRDefault="00B962A4" w:rsidP="00B962A4">
      <w:pPr>
        <w:rPr>
          <w:rFonts w:cstheme="minorHAnsi"/>
        </w:rPr>
      </w:pPr>
      <w:r w:rsidRPr="00927518">
        <w:rPr>
          <w:rFonts w:cstheme="minorHAnsi"/>
        </w:rPr>
        <w:t xml:space="preserve">Assessing the European Union’s energy efficiency policy: Will the winter package deliver on ‘Efficiency First’? Jan Rosenow, Richard Cowart, Edith Bayer, </w:t>
      </w:r>
      <w:proofErr w:type="spellStart"/>
      <w:r w:rsidRPr="00927518">
        <w:rPr>
          <w:rFonts w:cstheme="minorHAnsi"/>
        </w:rPr>
        <w:t>Mariangiola</w:t>
      </w:r>
      <w:proofErr w:type="spellEnd"/>
      <w:r w:rsidRPr="00927518">
        <w:rPr>
          <w:rFonts w:cstheme="minorHAnsi"/>
        </w:rPr>
        <w:t xml:space="preserve"> </w:t>
      </w:r>
      <w:proofErr w:type="spellStart"/>
      <w:r w:rsidRPr="00927518">
        <w:rPr>
          <w:rFonts w:cstheme="minorHAnsi"/>
        </w:rPr>
        <w:t>Fabbrid</w:t>
      </w:r>
      <w:proofErr w:type="spellEnd"/>
      <w:r w:rsidRPr="00927518">
        <w:rPr>
          <w:rFonts w:cstheme="minorHAnsi"/>
        </w:rPr>
        <w:t>, 2017</w:t>
      </w:r>
    </w:p>
    <w:p w14:paraId="25960FC5" w14:textId="77777777" w:rsidR="00B962A4" w:rsidRPr="00927518" w:rsidRDefault="00B962A4" w:rsidP="00B962A4">
      <w:pPr>
        <w:spacing w:before="100" w:beforeAutospacing="1" w:after="100" w:afterAutospacing="1" w:line="240" w:lineRule="auto"/>
        <w:rPr>
          <w:rFonts w:eastAsia="Times New Roman" w:cs="Times New Roman"/>
          <w:kern w:val="0"/>
          <w14:ligatures w14:val="none"/>
        </w:rPr>
      </w:pPr>
    </w:p>
    <w:p w14:paraId="460674C5" w14:textId="71631979" w:rsidR="00825F99" w:rsidRPr="00927518" w:rsidRDefault="00A862F4" w:rsidP="00825F99">
      <w:pPr>
        <w:spacing w:before="100" w:beforeAutospacing="1" w:after="100" w:afterAutospacing="1" w:line="240" w:lineRule="auto"/>
        <w:rPr>
          <w:rFonts w:eastAsia="Times New Roman" w:cs="Times New Roman"/>
          <w:kern w:val="0"/>
          <w14:ligatures w14:val="none"/>
        </w:rPr>
      </w:pPr>
      <w:r w:rsidRPr="00927518">
        <w:rPr>
          <w:b/>
          <w:bCs/>
        </w:rPr>
        <w:t>11:00-</w:t>
      </w:r>
      <w:proofErr w:type="gramStart"/>
      <w:r w:rsidRPr="00927518">
        <w:rPr>
          <w:b/>
          <w:bCs/>
        </w:rPr>
        <w:t xml:space="preserve">12:30  </w:t>
      </w:r>
      <w:r w:rsidR="00825F99" w:rsidRPr="00927518">
        <w:rPr>
          <w:rFonts w:eastAsia="Times New Roman" w:cs="Times New Roman"/>
          <w:b/>
          <w:bCs/>
          <w:kern w:val="0"/>
          <w14:ligatures w14:val="none"/>
        </w:rPr>
        <w:t>Session</w:t>
      </w:r>
      <w:proofErr w:type="gramEnd"/>
      <w:r w:rsidR="00825F99" w:rsidRPr="00927518">
        <w:rPr>
          <w:rFonts w:eastAsia="Times New Roman" w:cs="Times New Roman"/>
          <w:b/>
          <w:bCs/>
          <w:kern w:val="0"/>
          <w14:ligatures w14:val="none"/>
        </w:rPr>
        <w:t xml:space="preserve"> 2: Transport, Buildings, and Agriculture</w:t>
      </w:r>
    </w:p>
    <w:p w14:paraId="00BA8582" w14:textId="77777777" w:rsidR="00825F99" w:rsidRPr="00927518" w:rsidRDefault="00825F99" w:rsidP="00825F99">
      <w:pPr>
        <w:numPr>
          <w:ilvl w:val="0"/>
          <w:numId w:val="18"/>
        </w:num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t>Learning Objective:</w:t>
      </w:r>
      <w:r w:rsidRPr="00927518">
        <w:rPr>
          <w:rFonts w:eastAsia="Times New Roman" w:cs="Times New Roman"/>
          <w:kern w:val="0"/>
          <w14:ligatures w14:val="none"/>
        </w:rPr>
        <w:t xml:space="preserve"> Identify challenges in non-ETS sectors.</w:t>
      </w:r>
    </w:p>
    <w:p w14:paraId="0EA07AD6" w14:textId="77777777" w:rsidR="00825F99" w:rsidRPr="00927518" w:rsidRDefault="00825F99" w:rsidP="00825F99">
      <w:pPr>
        <w:numPr>
          <w:ilvl w:val="0"/>
          <w:numId w:val="18"/>
        </w:num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t>Content:</w:t>
      </w:r>
      <w:r w:rsidRPr="00927518">
        <w:rPr>
          <w:rFonts w:eastAsia="Times New Roman" w:cs="Times New Roman"/>
          <w:kern w:val="0"/>
          <w14:ligatures w14:val="none"/>
        </w:rPr>
        <w:t xml:space="preserve"> Building codes, CAP reform, fuel standards.</w:t>
      </w:r>
    </w:p>
    <w:p w14:paraId="3D951678" w14:textId="77777777" w:rsidR="00825F99" w:rsidRPr="00927518" w:rsidRDefault="00825F99" w:rsidP="00825F99">
      <w:pPr>
        <w:numPr>
          <w:ilvl w:val="0"/>
          <w:numId w:val="18"/>
        </w:num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t>Activity:</w:t>
      </w:r>
      <w:r w:rsidRPr="00927518">
        <w:rPr>
          <w:rFonts w:eastAsia="Times New Roman" w:cs="Times New Roman"/>
          <w:kern w:val="0"/>
          <w14:ligatures w14:val="none"/>
        </w:rPr>
        <w:t xml:space="preserve"> Case study breakout (3 groups): each </w:t>
      </w:r>
      <w:proofErr w:type="gramStart"/>
      <w:r w:rsidRPr="00927518">
        <w:rPr>
          <w:rFonts w:eastAsia="Times New Roman" w:cs="Times New Roman"/>
          <w:kern w:val="0"/>
          <w14:ligatures w14:val="none"/>
        </w:rPr>
        <w:t>tackles</w:t>
      </w:r>
      <w:proofErr w:type="gramEnd"/>
      <w:r w:rsidRPr="00927518">
        <w:rPr>
          <w:rFonts w:eastAsia="Times New Roman" w:cs="Times New Roman"/>
          <w:kern w:val="0"/>
          <w14:ligatures w14:val="none"/>
        </w:rPr>
        <w:t xml:space="preserve"> one sector and evaluates a specific EU policy’s success/failure using a short fact sheet.</w:t>
      </w:r>
    </w:p>
    <w:p w14:paraId="1B8BDDD0" w14:textId="65D91651" w:rsidR="00825F99" w:rsidRPr="00927518" w:rsidRDefault="00A862F4" w:rsidP="00825F99">
      <w:pPr>
        <w:spacing w:before="100" w:beforeAutospacing="1" w:after="100" w:afterAutospacing="1" w:line="240" w:lineRule="auto"/>
        <w:rPr>
          <w:rFonts w:eastAsia="Times New Roman" w:cs="Times New Roman"/>
          <w:b/>
          <w:bCs/>
          <w:kern w:val="0"/>
          <w14:ligatures w14:val="none"/>
        </w:rPr>
      </w:pPr>
      <w:r w:rsidRPr="00927518">
        <w:rPr>
          <w:b/>
          <w:bCs/>
        </w:rPr>
        <w:t xml:space="preserve">13:30-15:00 </w:t>
      </w:r>
      <w:r w:rsidR="00825F99" w:rsidRPr="00927518">
        <w:rPr>
          <w:rFonts w:eastAsia="Times New Roman" w:cs="Times New Roman"/>
          <w:b/>
          <w:bCs/>
          <w:kern w:val="0"/>
          <w14:ligatures w14:val="none"/>
        </w:rPr>
        <w:t xml:space="preserve">Session 3: </w:t>
      </w:r>
      <w:r w:rsidR="005B7EF3" w:rsidRPr="00927518">
        <w:rPr>
          <w:rFonts w:eastAsia="Times New Roman" w:cs="Times New Roman"/>
          <w:b/>
          <w:bCs/>
          <w:kern w:val="0"/>
          <w14:ligatures w14:val="none"/>
        </w:rPr>
        <w:t>Group work</w:t>
      </w:r>
    </w:p>
    <w:p w14:paraId="257FC41F" w14:textId="6C102C6F" w:rsidR="0034126C" w:rsidRPr="00927518" w:rsidRDefault="001B3F0C" w:rsidP="00825F99">
      <w:pPr>
        <w:spacing w:before="100" w:beforeAutospacing="1" w:after="100" w:afterAutospacing="1" w:line="240" w:lineRule="auto"/>
        <w:rPr>
          <w:rFonts w:eastAsia="Times New Roman" w:cs="Times New Roman"/>
          <w:kern w:val="0"/>
          <w14:ligatures w14:val="none"/>
        </w:rPr>
      </w:pPr>
      <w:r w:rsidRPr="00927518">
        <w:rPr>
          <w:rFonts w:eastAsia="Times New Roman" w:cs="Times New Roman"/>
          <w:kern w:val="0"/>
          <w14:ligatures w14:val="none"/>
        </w:rPr>
        <w:t xml:space="preserve">CA: </w:t>
      </w:r>
      <w:r w:rsidR="008B358F" w:rsidRPr="00927518">
        <w:rPr>
          <w:rFonts w:eastAsia="Times New Roman" w:cs="Times New Roman"/>
          <w:kern w:val="0"/>
          <w14:ligatures w14:val="none"/>
        </w:rPr>
        <w:t xml:space="preserve">Develop policy using EU </w:t>
      </w:r>
      <w:r w:rsidRPr="00927518">
        <w:rPr>
          <w:rFonts w:eastAsia="Times New Roman" w:cs="Times New Roman"/>
          <w:kern w:val="0"/>
          <w14:ligatures w14:val="none"/>
        </w:rPr>
        <w:br/>
        <w:t>Decarbonize Energy &amp; Transportation</w:t>
      </w:r>
      <w:r w:rsidR="008B358F" w:rsidRPr="00927518">
        <w:rPr>
          <w:rFonts w:eastAsia="Times New Roman" w:cs="Times New Roman"/>
          <w:kern w:val="0"/>
          <w14:ligatures w14:val="none"/>
        </w:rPr>
        <w:t xml:space="preserve"> in Central </w:t>
      </w:r>
    </w:p>
    <w:p w14:paraId="673A43E7" w14:textId="13D7A1C2" w:rsidR="00825F99" w:rsidRPr="00927518" w:rsidRDefault="005B7EF3" w:rsidP="00825F99">
      <w:pPr>
        <w:numPr>
          <w:ilvl w:val="0"/>
          <w:numId w:val="19"/>
        </w:num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t xml:space="preserve">Link: </w:t>
      </w:r>
      <w:hyperlink r:id="rId9" w:history="1">
        <w:r w:rsidRPr="00927518">
          <w:rPr>
            <w:rStyle w:val="Hyperlink"/>
            <w:rFonts w:eastAsia="Times New Roman" w:cs="Times New Roman"/>
            <w:b/>
            <w:bCs/>
            <w:kern w:val="0"/>
            <w14:ligatures w14:val="none"/>
          </w:rPr>
          <w:t>https://commission.europa.eu/document/download/9db1c5c8-9e82-467b-ab6a-905feeb4b6b0_en?filename=Communication%20-%20Clean%20Industrial%20Deal_en.pdf</w:t>
        </w:r>
      </w:hyperlink>
      <w:r w:rsidRPr="00927518">
        <w:rPr>
          <w:rFonts w:eastAsia="Times New Roman" w:cs="Times New Roman"/>
          <w:b/>
          <w:bCs/>
          <w:kern w:val="0"/>
          <w14:ligatures w14:val="none"/>
        </w:rPr>
        <w:t xml:space="preserve"> </w:t>
      </w:r>
    </w:p>
    <w:p w14:paraId="414BF1D3" w14:textId="77777777" w:rsidR="00825F99" w:rsidRPr="00927518" w:rsidRDefault="00000000" w:rsidP="00825F99">
      <w:pPr>
        <w:spacing w:after="0" w:line="240" w:lineRule="auto"/>
        <w:rPr>
          <w:rFonts w:eastAsia="Times New Roman" w:cs="Times New Roman"/>
          <w:kern w:val="0"/>
          <w14:ligatures w14:val="none"/>
        </w:rPr>
      </w:pPr>
      <w:r>
        <w:rPr>
          <w:rFonts w:eastAsia="Times New Roman" w:cs="Times New Roman"/>
          <w:kern w:val="0"/>
          <w14:ligatures w14:val="none"/>
        </w:rPr>
        <w:pict w14:anchorId="47B25202">
          <v:rect id="_x0000_i1030" style="width:0;height:1.5pt" o:hralign="center" o:hrstd="t" o:hr="t" fillcolor="#a0a0a0" stroked="f"/>
        </w:pict>
      </w:r>
    </w:p>
    <w:p w14:paraId="1988FDA0" w14:textId="77777777" w:rsidR="00825F99" w:rsidRPr="00927518" w:rsidRDefault="00825F99" w:rsidP="00825F99">
      <w:pPr>
        <w:spacing w:before="100" w:beforeAutospacing="1" w:after="100" w:afterAutospacing="1" w:line="240" w:lineRule="auto"/>
        <w:outlineLvl w:val="1"/>
        <w:rPr>
          <w:rFonts w:eastAsia="Times New Roman" w:cs="Times New Roman"/>
          <w:b/>
          <w:bCs/>
          <w:kern w:val="0"/>
          <w:sz w:val="36"/>
          <w:szCs w:val="36"/>
          <w14:ligatures w14:val="none"/>
        </w:rPr>
      </w:pPr>
      <w:r w:rsidRPr="00927518">
        <w:rPr>
          <w:rFonts w:ascii="Segoe UI Emoji" w:eastAsia="Times New Roman" w:hAnsi="Segoe UI Emoji" w:cs="Segoe UI Emoji"/>
          <w:b/>
          <w:bCs/>
          <w:kern w:val="0"/>
          <w:sz w:val="36"/>
          <w:szCs w:val="36"/>
          <w14:ligatures w14:val="none"/>
        </w:rPr>
        <w:t>⚙️</w:t>
      </w:r>
      <w:r w:rsidRPr="00927518">
        <w:rPr>
          <w:rFonts w:eastAsia="Times New Roman" w:cs="Times New Roman"/>
          <w:b/>
          <w:bCs/>
          <w:kern w:val="0"/>
          <w:sz w:val="36"/>
          <w:szCs w:val="36"/>
          <w14:ligatures w14:val="none"/>
        </w:rPr>
        <w:t xml:space="preserve"> Day 3: Climate Instruments and Governance</w:t>
      </w:r>
    </w:p>
    <w:p w14:paraId="3776B206" w14:textId="18545907" w:rsidR="00825F99" w:rsidRPr="00927518" w:rsidRDefault="00A862F4" w:rsidP="00825F99">
      <w:pPr>
        <w:spacing w:before="100" w:beforeAutospacing="1" w:after="100" w:afterAutospacing="1" w:line="240" w:lineRule="auto"/>
        <w:rPr>
          <w:rFonts w:eastAsia="Times New Roman" w:cs="Times New Roman"/>
          <w:kern w:val="0"/>
          <w14:ligatures w14:val="none"/>
        </w:rPr>
      </w:pPr>
      <w:r w:rsidRPr="00927518">
        <w:rPr>
          <w:b/>
          <w:bCs/>
        </w:rPr>
        <w:t>9:00-</w:t>
      </w:r>
      <w:proofErr w:type="gramStart"/>
      <w:r w:rsidRPr="00927518">
        <w:rPr>
          <w:b/>
          <w:bCs/>
        </w:rPr>
        <w:t xml:space="preserve">10:30  </w:t>
      </w:r>
      <w:r w:rsidR="00825F99" w:rsidRPr="00927518">
        <w:rPr>
          <w:rFonts w:eastAsia="Times New Roman" w:cs="Times New Roman"/>
          <w:b/>
          <w:bCs/>
          <w:kern w:val="0"/>
          <w14:ligatures w14:val="none"/>
        </w:rPr>
        <w:t>Session</w:t>
      </w:r>
      <w:proofErr w:type="gramEnd"/>
      <w:r w:rsidR="00825F99" w:rsidRPr="00927518">
        <w:rPr>
          <w:rFonts w:eastAsia="Times New Roman" w:cs="Times New Roman"/>
          <w:b/>
          <w:bCs/>
          <w:kern w:val="0"/>
          <w14:ligatures w14:val="none"/>
        </w:rPr>
        <w:t xml:space="preserve"> 1: </w:t>
      </w:r>
      <w:r w:rsidR="00270F19" w:rsidRPr="00927518">
        <w:rPr>
          <w:rFonts w:eastAsia="Times New Roman" w:cs="Times New Roman"/>
          <w:b/>
          <w:bCs/>
          <w:kern w:val="0"/>
          <w14:ligatures w14:val="none"/>
        </w:rPr>
        <w:t xml:space="preserve">EU </w:t>
      </w:r>
      <w:r w:rsidR="00055BDA" w:rsidRPr="00927518">
        <w:rPr>
          <w:rFonts w:eastAsia="Times New Roman" w:cs="Times New Roman"/>
          <w:b/>
          <w:bCs/>
          <w:kern w:val="0"/>
          <w14:ligatures w14:val="none"/>
        </w:rPr>
        <w:t xml:space="preserve">Environmental Taxation </w:t>
      </w:r>
    </w:p>
    <w:p w14:paraId="5F987448" w14:textId="13146990" w:rsidR="00825F99" w:rsidRPr="00927518" w:rsidRDefault="00825F99" w:rsidP="00825F99">
      <w:pPr>
        <w:numPr>
          <w:ilvl w:val="0"/>
          <w:numId w:val="20"/>
        </w:num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t>Learning Objective:</w:t>
      </w:r>
      <w:r w:rsidRPr="00927518">
        <w:rPr>
          <w:rFonts w:eastAsia="Times New Roman" w:cs="Times New Roman"/>
          <w:kern w:val="0"/>
          <w14:ligatures w14:val="none"/>
        </w:rPr>
        <w:t xml:space="preserve"> Understand how </w:t>
      </w:r>
      <w:r w:rsidR="00055BDA" w:rsidRPr="00927518">
        <w:rPr>
          <w:rFonts w:eastAsia="Times New Roman" w:cs="Times New Roman"/>
          <w:kern w:val="0"/>
          <w14:ligatures w14:val="none"/>
        </w:rPr>
        <w:t xml:space="preserve">ET </w:t>
      </w:r>
      <w:r w:rsidRPr="00927518">
        <w:rPr>
          <w:rFonts w:eastAsia="Times New Roman" w:cs="Times New Roman"/>
          <w:kern w:val="0"/>
          <w14:ligatures w14:val="none"/>
        </w:rPr>
        <w:t>works and its impact.</w:t>
      </w:r>
    </w:p>
    <w:p w14:paraId="5F588441" w14:textId="456787C5" w:rsidR="00055BDA" w:rsidRPr="00927518" w:rsidRDefault="00055BDA" w:rsidP="00825F99">
      <w:pPr>
        <w:spacing w:before="100" w:beforeAutospacing="1" w:after="100" w:afterAutospacing="1" w:line="240" w:lineRule="auto"/>
        <w:rPr>
          <w:rFonts w:eastAsia="Times New Roman" w:cs="Times New Roman"/>
          <w:b/>
          <w:bCs/>
          <w:kern w:val="0"/>
          <w14:ligatures w14:val="none"/>
        </w:rPr>
      </w:pPr>
      <w:r w:rsidRPr="00927518">
        <w:rPr>
          <w:rFonts w:eastAsia="Times New Roman" w:cs="Times New Roman"/>
          <w:b/>
          <w:bCs/>
          <w:kern w:val="0"/>
          <w14:ligatures w14:val="none"/>
        </w:rPr>
        <w:lastRenderedPageBreak/>
        <w:t>Reading:</w:t>
      </w:r>
    </w:p>
    <w:p w14:paraId="55ED64FD" w14:textId="77777777" w:rsidR="00405770" w:rsidRPr="00927518" w:rsidRDefault="00405770" w:rsidP="00405770">
      <w:pPr>
        <w:rPr>
          <w:rFonts w:cstheme="minorHAnsi"/>
        </w:rPr>
      </w:pPr>
      <w:r w:rsidRPr="00927518">
        <w:rPr>
          <w:rFonts w:cstheme="minorHAnsi"/>
        </w:rPr>
        <w:t xml:space="preserve">Environmental taxation in the European Union: Are there common trends? </w:t>
      </w:r>
      <w:proofErr w:type="spellStart"/>
      <w:r w:rsidRPr="00927518">
        <w:rPr>
          <w:rFonts w:cstheme="minorHAnsi"/>
        </w:rPr>
        <w:t>lFrancisco</w:t>
      </w:r>
      <w:proofErr w:type="spellEnd"/>
      <w:r w:rsidRPr="00927518">
        <w:rPr>
          <w:rFonts w:cstheme="minorHAnsi"/>
        </w:rPr>
        <w:t xml:space="preserve"> </w:t>
      </w:r>
      <w:proofErr w:type="spellStart"/>
      <w:proofErr w:type="gramStart"/>
      <w:r w:rsidRPr="00927518">
        <w:rPr>
          <w:rFonts w:cstheme="minorHAnsi"/>
        </w:rPr>
        <w:t>J.Delgado</w:t>
      </w:r>
      <w:proofErr w:type="spellEnd"/>
      <w:proofErr w:type="gramEnd"/>
      <w:r w:rsidRPr="00927518">
        <w:rPr>
          <w:rFonts w:cstheme="minorHAnsi"/>
        </w:rPr>
        <w:t xml:space="preserve"> </w:t>
      </w:r>
      <w:proofErr w:type="spellStart"/>
      <w:r w:rsidRPr="00927518">
        <w:rPr>
          <w:rFonts w:cstheme="minorHAnsi"/>
        </w:rPr>
        <w:t>JaumeFreire</w:t>
      </w:r>
      <w:proofErr w:type="spellEnd"/>
      <w:r w:rsidRPr="00927518">
        <w:rPr>
          <w:rFonts w:cstheme="minorHAnsi"/>
        </w:rPr>
        <w:t xml:space="preserve">-González Maria </w:t>
      </w:r>
      <w:proofErr w:type="spellStart"/>
      <w:proofErr w:type="gramStart"/>
      <w:r w:rsidRPr="00927518">
        <w:rPr>
          <w:rFonts w:cstheme="minorHAnsi"/>
        </w:rPr>
        <w:t>J.Presno</w:t>
      </w:r>
      <w:proofErr w:type="spellEnd"/>
      <w:proofErr w:type="gramEnd"/>
      <w:r w:rsidRPr="00927518">
        <w:rPr>
          <w:rFonts w:cstheme="minorHAnsi"/>
        </w:rPr>
        <w:t xml:space="preserve">, 2022 </w:t>
      </w:r>
    </w:p>
    <w:p w14:paraId="5E75D362" w14:textId="77777777" w:rsidR="00405770" w:rsidRPr="00927518" w:rsidRDefault="00405770" w:rsidP="00405770">
      <w:pPr>
        <w:rPr>
          <w:rFonts w:cstheme="minorHAnsi"/>
        </w:rPr>
      </w:pPr>
      <w:r w:rsidRPr="00927518">
        <w:rPr>
          <w:rFonts w:cstheme="minorHAnsi"/>
        </w:rPr>
        <w:t>Environmental taxation in Europe: What does it depend on? Castiglione et al., Cogent Economics &amp; Finance (2014), 2: 967362http://dx.doi.org/10.1080/23322039.2014.967362</w:t>
      </w:r>
    </w:p>
    <w:p w14:paraId="28F121A1" w14:textId="1F742120" w:rsidR="00825F99" w:rsidRPr="00927518" w:rsidRDefault="00A862F4" w:rsidP="00825F99">
      <w:pPr>
        <w:spacing w:before="100" w:beforeAutospacing="1" w:after="100" w:afterAutospacing="1" w:line="240" w:lineRule="auto"/>
        <w:rPr>
          <w:rFonts w:eastAsia="Times New Roman" w:cs="Times New Roman"/>
          <w:kern w:val="0"/>
          <w14:ligatures w14:val="none"/>
        </w:rPr>
      </w:pPr>
      <w:r w:rsidRPr="00927518">
        <w:rPr>
          <w:b/>
          <w:bCs/>
        </w:rPr>
        <w:t>11:00-</w:t>
      </w:r>
      <w:proofErr w:type="gramStart"/>
      <w:r w:rsidRPr="00927518">
        <w:rPr>
          <w:b/>
          <w:bCs/>
        </w:rPr>
        <w:t xml:space="preserve">12:30  </w:t>
      </w:r>
      <w:r w:rsidR="00825F99" w:rsidRPr="00927518">
        <w:rPr>
          <w:rFonts w:eastAsia="Times New Roman" w:cs="Times New Roman"/>
          <w:b/>
          <w:bCs/>
          <w:kern w:val="0"/>
          <w14:ligatures w14:val="none"/>
        </w:rPr>
        <w:t>Session</w:t>
      </w:r>
      <w:proofErr w:type="gramEnd"/>
      <w:r w:rsidR="00825F99" w:rsidRPr="00927518">
        <w:rPr>
          <w:rFonts w:eastAsia="Times New Roman" w:cs="Times New Roman"/>
          <w:b/>
          <w:bCs/>
          <w:kern w:val="0"/>
          <w14:ligatures w14:val="none"/>
        </w:rPr>
        <w:t xml:space="preserve"> 2: Carbon </w:t>
      </w:r>
      <w:r w:rsidR="00405770" w:rsidRPr="00927518">
        <w:rPr>
          <w:rFonts w:eastAsia="Times New Roman" w:cs="Times New Roman"/>
          <w:b/>
          <w:bCs/>
          <w:kern w:val="0"/>
          <w14:ligatures w14:val="none"/>
        </w:rPr>
        <w:t>Pricing in EU</w:t>
      </w:r>
    </w:p>
    <w:p w14:paraId="45A3E113" w14:textId="77777777" w:rsidR="00825F99" w:rsidRPr="00927518" w:rsidRDefault="00825F99" w:rsidP="00825F99">
      <w:pPr>
        <w:numPr>
          <w:ilvl w:val="0"/>
          <w:numId w:val="21"/>
        </w:num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t>Learning Objective:</w:t>
      </w:r>
      <w:r w:rsidRPr="00927518">
        <w:rPr>
          <w:rFonts w:eastAsia="Times New Roman" w:cs="Times New Roman"/>
          <w:kern w:val="0"/>
          <w14:ligatures w14:val="none"/>
        </w:rPr>
        <w:t xml:space="preserve"> Compare ETS with taxation and other instruments.</w:t>
      </w:r>
    </w:p>
    <w:p w14:paraId="206DF67E" w14:textId="77777777" w:rsidR="00405770" w:rsidRPr="00927518" w:rsidRDefault="00825F99" w:rsidP="00825F99">
      <w:pPr>
        <w:numPr>
          <w:ilvl w:val="0"/>
          <w:numId w:val="21"/>
        </w:num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t>Content:</w:t>
      </w:r>
      <w:r w:rsidRPr="00927518">
        <w:rPr>
          <w:rFonts w:eastAsia="Times New Roman" w:cs="Times New Roman"/>
          <w:kern w:val="0"/>
          <w14:ligatures w14:val="none"/>
        </w:rPr>
        <w:t xml:space="preserve"> National carbon taxes, energy subsidies, effectiveness.</w:t>
      </w:r>
    </w:p>
    <w:p w14:paraId="543A4B94" w14:textId="586D418E" w:rsidR="00405770" w:rsidRPr="00927518" w:rsidRDefault="00405770" w:rsidP="00405770">
      <w:pPr>
        <w:spacing w:before="100" w:beforeAutospacing="1" w:after="100" w:afterAutospacing="1" w:line="240" w:lineRule="auto"/>
        <w:rPr>
          <w:rFonts w:eastAsia="Times New Roman" w:cs="Times New Roman"/>
          <w:b/>
          <w:bCs/>
          <w:kern w:val="0"/>
          <w14:ligatures w14:val="none"/>
        </w:rPr>
      </w:pPr>
      <w:r w:rsidRPr="00927518">
        <w:rPr>
          <w:rFonts w:eastAsia="Times New Roman" w:cs="Times New Roman"/>
          <w:b/>
          <w:bCs/>
          <w:kern w:val="0"/>
          <w14:ligatures w14:val="none"/>
        </w:rPr>
        <w:t>Reading</w:t>
      </w:r>
    </w:p>
    <w:p w14:paraId="490F98D1" w14:textId="77777777" w:rsidR="00507AE6" w:rsidRPr="00927518" w:rsidRDefault="00507AE6" w:rsidP="00507AE6">
      <w:pPr>
        <w:rPr>
          <w:rFonts w:cstheme="minorHAnsi"/>
        </w:rPr>
      </w:pPr>
      <w:r w:rsidRPr="00927518">
        <w:rPr>
          <w:rFonts w:cstheme="minorHAnsi"/>
        </w:rPr>
        <w:t>Convery, F. J. (2009). Origins and Development of the EU ETS. Environmental and Resource Economics, 43(3), 391–412. doi:10.1007/s10640-009-9275-7</w:t>
      </w:r>
    </w:p>
    <w:p w14:paraId="32D52700" w14:textId="1CED7BFD" w:rsidR="00507AE6" w:rsidRPr="00927518" w:rsidRDefault="00507AE6" w:rsidP="00507AE6">
      <w:pPr>
        <w:rPr>
          <w:rFonts w:cstheme="minorHAnsi"/>
        </w:rPr>
      </w:pPr>
      <w:r w:rsidRPr="00927518">
        <w:rPr>
          <w:rFonts w:cstheme="minorHAnsi"/>
        </w:rPr>
        <w:t xml:space="preserve">Teixidó, J., Verde, S. F., &amp; Nicolli, F. (2019). The impact of the EU Emissions Trading System on low-carbon technological change: The empirical evidence. Ecological Economics, 164, 106347. </w:t>
      </w:r>
      <w:proofErr w:type="gramStart"/>
      <w:r w:rsidRPr="00927518">
        <w:rPr>
          <w:rFonts w:cstheme="minorHAnsi"/>
        </w:rPr>
        <w:t>doi:10.1016/j.ecolecon</w:t>
      </w:r>
      <w:proofErr w:type="gramEnd"/>
      <w:r w:rsidRPr="00927518">
        <w:rPr>
          <w:rFonts w:cstheme="minorHAnsi"/>
        </w:rPr>
        <w:t>.2019.06.002 10.1016/j.ecolecon.2019.06.002</w:t>
      </w:r>
    </w:p>
    <w:p w14:paraId="375F9BD7" w14:textId="77777777" w:rsidR="00507AE6" w:rsidRPr="00927518" w:rsidRDefault="00507AE6" w:rsidP="00507AE6">
      <w:pPr>
        <w:rPr>
          <w:rFonts w:cstheme="minorHAnsi"/>
        </w:rPr>
      </w:pPr>
      <w:r w:rsidRPr="00927518">
        <w:rPr>
          <w:rFonts w:cstheme="minorHAnsi"/>
        </w:rPr>
        <w:t>Verde, S. F. (2020). THE IMPACT OF THE EU EMISSIONS TRADING SYSTEM ON COMPETITIVENESS AND CARBON LEAKAGE: THE ECONOMETRIC EVIDENCE. Journal of Economic Surveys. doi:10.1111/joes.12356 </w:t>
      </w:r>
    </w:p>
    <w:p w14:paraId="4D9AB0FC" w14:textId="10010383" w:rsidR="00405770" w:rsidRPr="00927518" w:rsidRDefault="00507AE6" w:rsidP="00A862F4">
      <w:pPr>
        <w:rPr>
          <w:rFonts w:cstheme="minorHAnsi"/>
        </w:rPr>
      </w:pPr>
      <w:r w:rsidRPr="00927518">
        <w:rPr>
          <w:rFonts w:cstheme="minorHAnsi"/>
        </w:rPr>
        <w:t>Rosendahl, K. E. (2019). EU ETS and the waterbed effect. Nature Climate Change, 9(10), 734–735. doi:10.1038/s41558-019-0579-5</w:t>
      </w:r>
    </w:p>
    <w:p w14:paraId="424DA405" w14:textId="00D72DB0" w:rsidR="00825F99" w:rsidRPr="00927518" w:rsidRDefault="00A862F4" w:rsidP="00A862F4">
      <w:pPr>
        <w:spacing w:before="100" w:beforeAutospacing="1" w:after="100" w:afterAutospacing="1" w:line="240" w:lineRule="auto"/>
        <w:rPr>
          <w:rFonts w:eastAsia="Times New Roman" w:cs="Times New Roman"/>
          <w:kern w:val="0"/>
          <w14:ligatures w14:val="none"/>
        </w:rPr>
      </w:pPr>
      <w:r w:rsidRPr="00927518">
        <w:rPr>
          <w:b/>
          <w:bCs/>
        </w:rPr>
        <w:t>13:30-</w:t>
      </w:r>
      <w:proofErr w:type="gramStart"/>
      <w:r w:rsidRPr="00927518">
        <w:rPr>
          <w:b/>
          <w:bCs/>
        </w:rPr>
        <w:t xml:space="preserve">15:00  </w:t>
      </w:r>
      <w:r w:rsidR="00825F99" w:rsidRPr="00927518">
        <w:rPr>
          <w:rFonts w:eastAsia="Times New Roman" w:cs="Times New Roman"/>
          <w:b/>
          <w:bCs/>
          <w:kern w:val="0"/>
          <w14:ligatures w14:val="none"/>
        </w:rPr>
        <w:t>Session</w:t>
      </w:r>
      <w:proofErr w:type="gramEnd"/>
      <w:r w:rsidR="00825F99" w:rsidRPr="00927518">
        <w:rPr>
          <w:rFonts w:eastAsia="Times New Roman" w:cs="Times New Roman"/>
          <w:b/>
          <w:bCs/>
          <w:kern w:val="0"/>
          <w14:ligatures w14:val="none"/>
        </w:rPr>
        <w:t xml:space="preserve"> 3: </w:t>
      </w:r>
      <w:r w:rsidRPr="00927518">
        <w:rPr>
          <w:rFonts w:eastAsia="Times New Roman" w:cs="Times New Roman"/>
          <w:b/>
          <w:bCs/>
          <w:kern w:val="0"/>
          <w14:ligatures w14:val="none"/>
        </w:rPr>
        <w:t xml:space="preserve">CA Climate Policy </w:t>
      </w:r>
    </w:p>
    <w:p w14:paraId="40DEF141" w14:textId="77777777" w:rsidR="005F65FD" w:rsidRPr="00927518" w:rsidRDefault="005F65FD" w:rsidP="005F65FD">
      <w:pPr>
        <w:numPr>
          <w:ilvl w:val="0"/>
          <w:numId w:val="21"/>
        </w:num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t>Learning Objective:</w:t>
      </w:r>
      <w:r w:rsidRPr="00927518">
        <w:rPr>
          <w:rFonts w:eastAsia="Times New Roman" w:cs="Times New Roman"/>
          <w:kern w:val="0"/>
          <w14:ligatures w14:val="none"/>
        </w:rPr>
        <w:t xml:space="preserve"> Assess how Central Asia is positioned under the Paris Agreement.</w:t>
      </w:r>
    </w:p>
    <w:p w14:paraId="43DA1099" w14:textId="77777777" w:rsidR="005F65FD" w:rsidRPr="00927518" w:rsidRDefault="005F65FD" w:rsidP="005F65FD">
      <w:pPr>
        <w:numPr>
          <w:ilvl w:val="0"/>
          <w:numId w:val="21"/>
        </w:num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t>Content:</w:t>
      </w:r>
      <w:r w:rsidRPr="00927518">
        <w:rPr>
          <w:rFonts w:eastAsia="Times New Roman" w:cs="Times New Roman"/>
          <w:kern w:val="0"/>
          <w14:ligatures w14:val="none"/>
        </w:rPr>
        <w:t xml:space="preserve"> NDCs, governance capacity, data gaps.</w:t>
      </w:r>
    </w:p>
    <w:p w14:paraId="3286C523" w14:textId="77777777" w:rsidR="00825F99" w:rsidRPr="00927518" w:rsidRDefault="00000000" w:rsidP="00825F99">
      <w:pPr>
        <w:spacing w:after="0" w:line="240" w:lineRule="auto"/>
        <w:rPr>
          <w:rFonts w:eastAsia="Times New Roman" w:cs="Times New Roman"/>
          <w:kern w:val="0"/>
          <w14:ligatures w14:val="none"/>
        </w:rPr>
      </w:pPr>
      <w:r>
        <w:rPr>
          <w:rFonts w:eastAsia="Times New Roman" w:cs="Times New Roman"/>
          <w:kern w:val="0"/>
          <w14:ligatures w14:val="none"/>
        </w:rPr>
        <w:pict w14:anchorId="1F00E25E">
          <v:rect id="_x0000_i1031" style="width:0;height:1.5pt" o:hralign="center" o:hrstd="t" o:hr="t" fillcolor="#a0a0a0" stroked="f"/>
        </w:pict>
      </w:r>
    </w:p>
    <w:p w14:paraId="7745964B" w14:textId="77777777" w:rsidR="00825F99" w:rsidRPr="00927518" w:rsidRDefault="00825F99" w:rsidP="00825F99">
      <w:pPr>
        <w:spacing w:before="100" w:beforeAutospacing="1" w:after="100" w:afterAutospacing="1" w:line="240" w:lineRule="auto"/>
        <w:outlineLvl w:val="1"/>
        <w:rPr>
          <w:rFonts w:eastAsia="Times New Roman" w:cs="Times New Roman"/>
          <w:b/>
          <w:bCs/>
          <w:kern w:val="0"/>
          <w:sz w:val="36"/>
          <w:szCs w:val="36"/>
          <w14:ligatures w14:val="none"/>
        </w:rPr>
      </w:pPr>
      <w:r w:rsidRPr="00927518">
        <w:rPr>
          <w:rFonts w:ascii="Segoe UI Emoji" w:eastAsia="Times New Roman" w:hAnsi="Segoe UI Emoji" w:cs="Segoe UI Emoji"/>
          <w:b/>
          <w:bCs/>
          <w:kern w:val="0"/>
          <w:sz w:val="36"/>
          <w:szCs w:val="36"/>
          <w14:ligatures w14:val="none"/>
        </w:rPr>
        <w:t>🌍</w:t>
      </w:r>
      <w:r w:rsidRPr="00927518">
        <w:rPr>
          <w:rFonts w:eastAsia="Times New Roman" w:cs="Times New Roman"/>
          <w:b/>
          <w:bCs/>
          <w:kern w:val="0"/>
          <w:sz w:val="36"/>
          <w:szCs w:val="36"/>
          <w14:ligatures w14:val="none"/>
        </w:rPr>
        <w:t xml:space="preserve"> Day 4: Lessons for Central Asia + Presentations</w:t>
      </w:r>
    </w:p>
    <w:p w14:paraId="24CFD5C2" w14:textId="196DABEF" w:rsidR="00825F99" w:rsidRPr="00927518" w:rsidRDefault="00825F99" w:rsidP="00825F99">
      <w:p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t>Group Presentations</w:t>
      </w:r>
      <w:r w:rsidR="00EC718F" w:rsidRPr="00927518">
        <w:rPr>
          <w:rFonts w:eastAsia="Times New Roman" w:cs="Times New Roman"/>
          <w:b/>
          <w:bCs/>
          <w:kern w:val="0"/>
          <w14:ligatures w14:val="none"/>
        </w:rPr>
        <w:t xml:space="preserve"> </w:t>
      </w:r>
      <w:r w:rsidR="000467DF" w:rsidRPr="00927518">
        <w:rPr>
          <w:rFonts w:eastAsia="Times New Roman" w:cs="Times New Roman"/>
          <w:b/>
          <w:bCs/>
          <w:kern w:val="0"/>
          <w14:ligatures w14:val="none"/>
        </w:rPr>
        <w:t>Session 1 and Session 2</w:t>
      </w:r>
    </w:p>
    <w:p w14:paraId="54482B4C" w14:textId="77777777" w:rsidR="00825F99" w:rsidRPr="00927518" w:rsidRDefault="00825F99" w:rsidP="00825F99">
      <w:pPr>
        <w:numPr>
          <w:ilvl w:val="0"/>
          <w:numId w:val="25"/>
        </w:num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t>Learning Objective:</w:t>
      </w:r>
      <w:r w:rsidRPr="00927518">
        <w:rPr>
          <w:rFonts w:eastAsia="Times New Roman" w:cs="Times New Roman"/>
          <w:kern w:val="0"/>
          <w14:ligatures w14:val="none"/>
        </w:rPr>
        <w:t xml:space="preserve"> Synthesize learning and apply it to regional challenges.</w:t>
      </w:r>
    </w:p>
    <w:p w14:paraId="6FB1E8CF" w14:textId="5C37D1E3" w:rsidR="00825F99" w:rsidRPr="00927518" w:rsidRDefault="00825F99" w:rsidP="00825F99">
      <w:pPr>
        <w:numPr>
          <w:ilvl w:val="0"/>
          <w:numId w:val="25"/>
        </w:numPr>
        <w:spacing w:before="100" w:beforeAutospacing="1" w:after="100" w:afterAutospacing="1" w:line="240" w:lineRule="auto"/>
        <w:rPr>
          <w:rFonts w:eastAsia="Times New Roman" w:cs="Times New Roman"/>
          <w:kern w:val="0"/>
          <w14:ligatures w14:val="none"/>
        </w:rPr>
      </w:pPr>
      <w:r w:rsidRPr="00927518">
        <w:rPr>
          <w:rFonts w:eastAsia="Times New Roman" w:cs="Times New Roman"/>
          <w:b/>
          <w:bCs/>
          <w:kern w:val="0"/>
          <w14:ligatures w14:val="none"/>
        </w:rPr>
        <w:t>Activity:</w:t>
      </w:r>
      <w:r w:rsidRPr="00927518">
        <w:rPr>
          <w:rFonts w:eastAsia="Times New Roman" w:cs="Times New Roman"/>
          <w:kern w:val="0"/>
          <w14:ligatures w14:val="none"/>
        </w:rPr>
        <w:t xml:space="preserve"> Group presentations (20 </w:t>
      </w:r>
      <w:r w:rsidR="000467DF" w:rsidRPr="00927518">
        <w:rPr>
          <w:rFonts w:eastAsia="Times New Roman" w:cs="Times New Roman"/>
          <w:kern w:val="0"/>
          <w14:ligatures w14:val="none"/>
        </w:rPr>
        <w:t xml:space="preserve">– 25 </w:t>
      </w:r>
      <w:r w:rsidRPr="00927518">
        <w:rPr>
          <w:rFonts w:eastAsia="Times New Roman" w:cs="Times New Roman"/>
          <w:kern w:val="0"/>
          <w14:ligatures w14:val="none"/>
        </w:rPr>
        <w:t>min each). Peer review forms for feedback.</w:t>
      </w:r>
    </w:p>
    <w:p w14:paraId="1D5B13B6" w14:textId="77777777" w:rsidR="00675007" w:rsidRPr="00927518" w:rsidRDefault="00000000" w:rsidP="00675007">
      <w:r>
        <w:lastRenderedPageBreak/>
        <w:pict w14:anchorId="25E5DFD9">
          <v:rect id="_x0000_i1032" style="width:0;height:1.5pt" o:hralign="center" o:hrstd="t" o:hr="t" fillcolor="#a0a0a0" stroked="f"/>
        </w:pict>
      </w:r>
    </w:p>
    <w:p w14:paraId="4A0FE7DC" w14:textId="77777777" w:rsidR="00675007" w:rsidRPr="00927518" w:rsidRDefault="00675007" w:rsidP="00675007">
      <w:pPr>
        <w:rPr>
          <w:b/>
          <w:bCs/>
        </w:rPr>
      </w:pPr>
      <w:r w:rsidRPr="00927518">
        <w:rPr>
          <w:b/>
          <w:bCs/>
        </w:rPr>
        <w:t>Course Policies:</w:t>
      </w:r>
    </w:p>
    <w:p w14:paraId="5F3ECC58" w14:textId="77777777" w:rsidR="00675007" w:rsidRPr="00927518" w:rsidRDefault="00675007" w:rsidP="00DA2BB0">
      <w:pPr>
        <w:numPr>
          <w:ilvl w:val="0"/>
          <w:numId w:val="11"/>
        </w:numPr>
        <w:spacing w:after="0"/>
      </w:pPr>
      <w:r w:rsidRPr="00927518">
        <w:rPr>
          <w:b/>
          <w:bCs/>
        </w:rPr>
        <w:t>Plagiarism:</w:t>
      </w:r>
      <w:r w:rsidRPr="00927518">
        <w:t xml:space="preserve"> Strictly prohibited; will result in expulsion</w:t>
      </w:r>
    </w:p>
    <w:p w14:paraId="28A8F4E6" w14:textId="52E8A68B" w:rsidR="007C50AC" w:rsidRPr="00927518" w:rsidRDefault="007C50AC" w:rsidP="00DA2BB0">
      <w:pPr>
        <w:numPr>
          <w:ilvl w:val="0"/>
          <w:numId w:val="11"/>
        </w:numPr>
        <w:spacing w:after="0"/>
      </w:pPr>
      <w:r w:rsidRPr="00927518">
        <w:rPr>
          <w:b/>
          <w:bCs/>
        </w:rPr>
        <w:t>AI use policy:</w:t>
      </w:r>
      <w:r w:rsidRPr="00927518">
        <w:t xml:space="preserve"> AI use is encouraged </w:t>
      </w:r>
      <w:r w:rsidRPr="00927518">
        <w:rPr>
          <w:u w:val="single"/>
        </w:rPr>
        <w:t>only</w:t>
      </w:r>
      <w:r w:rsidRPr="00927518">
        <w:t xml:space="preserve"> for </w:t>
      </w:r>
      <w:r w:rsidR="00000C4A" w:rsidRPr="00927518">
        <w:t>grammar improvement.</w:t>
      </w:r>
    </w:p>
    <w:p w14:paraId="07323B9E" w14:textId="77777777" w:rsidR="00675007" w:rsidRPr="00927518" w:rsidRDefault="00675007" w:rsidP="00DA2BB0">
      <w:pPr>
        <w:numPr>
          <w:ilvl w:val="0"/>
          <w:numId w:val="11"/>
        </w:numPr>
        <w:spacing w:after="0"/>
      </w:pPr>
      <w:r w:rsidRPr="00927518">
        <w:rPr>
          <w:b/>
          <w:bCs/>
        </w:rPr>
        <w:t>Attendance:</w:t>
      </w:r>
      <w:r w:rsidRPr="00927518">
        <w:t xml:space="preserve"> Mandatory for all sessions</w:t>
      </w:r>
    </w:p>
    <w:p w14:paraId="2D25C23D" w14:textId="77777777" w:rsidR="00675007" w:rsidRPr="00927518" w:rsidRDefault="00675007" w:rsidP="00DA2BB0">
      <w:pPr>
        <w:numPr>
          <w:ilvl w:val="0"/>
          <w:numId w:val="11"/>
        </w:numPr>
        <w:spacing w:after="0"/>
      </w:pPr>
      <w:r w:rsidRPr="00927518">
        <w:rPr>
          <w:b/>
          <w:bCs/>
        </w:rPr>
        <w:t>Special Needs:</w:t>
      </w:r>
      <w:r w:rsidRPr="00927518">
        <w:t xml:space="preserve"> Confidential support available on request</w:t>
      </w:r>
    </w:p>
    <w:p w14:paraId="1C996D96" w14:textId="7DBD85D6" w:rsidR="00675007" w:rsidRPr="00927518" w:rsidRDefault="00675007" w:rsidP="00DA2BB0">
      <w:pPr>
        <w:numPr>
          <w:ilvl w:val="0"/>
          <w:numId w:val="11"/>
        </w:numPr>
        <w:spacing w:after="0"/>
      </w:pPr>
      <w:r w:rsidRPr="00927518">
        <w:rPr>
          <w:b/>
          <w:bCs/>
        </w:rPr>
        <w:t>Flexibility:</w:t>
      </w:r>
      <w:r w:rsidRPr="00927518">
        <w:t xml:space="preserve"> Schedule may adapt to </w:t>
      </w:r>
      <w:r w:rsidR="00000C4A" w:rsidRPr="00927518">
        <w:t>the participant's expertise and knowledge</w:t>
      </w:r>
    </w:p>
    <w:p w14:paraId="450DDBA6" w14:textId="77777777" w:rsidR="00675007" w:rsidRPr="00927518" w:rsidRDefault="00000000" w:rsidP="00675007">
      <w:r>
        <w:pict w14:anchorId="7EC945CB">
          <v:rect id="_x0000_i1033" style="width:0;height:1.5pt" o:hralign="center" o:hrstd="t" o:hr="t" fillcolor="#a0a0a0" stroked="f"/>
        </w:pict>
      </w:r>
    </w:p>
    <w:p w14:paraId="12F186C3" w14:textId="7BE19A38" w:rsidR="0097685A" w:rsidRPr="0097685A" w:rsidRDefault="00927518" w:rsidP="0097685A">
      <w:pPr>
        <w:spacing w:before="100" w:beforeAutospacing="1" w:after="100" w:afterAutospacing="1" w:line="240" w:lineRule="auto"/>
        <w:outlineLvl w:val="1"/>
        <w:rPr>
          <w:rFonts w:eastAsia="Times New Roman" w:cs="Times New Roman"/>
          <w:b/>
          <w:bCs/>
          <w:kern w:val="0"/>
          <w:sz w:val="36"/>
          <w:szCs w:val="36"/>
          <w14:ligatures w14:val="none"/>
        </w:rPr>
      </w:pPr>
      <w:r w:rsidRPr="00927518">
        <w:rPr>
          <w:rFonts w:ascii="Segoe UI Emoji" w:eastAsia="Times New Roman" w:hAnsi="Segoe UI Emoji" w:cs="Segoe UI Emoji"/>
          <w:b/>
          <w:bCs/>
          <w:kern w:val="0"/>
          <w:sz w:val="36"/>
          <w:szCs w:val="36"/>
          <w14:ligatures w14:val="none"/>
        </w:rPr>
        <w:t>🌍</w:t>
      </w:r>
      <w:r w:rsidRPr="00927518">
        <w:rPr>
          <w:rFonts w:eastAsia="Times New Roman" w:cs="Times New Roman"/>
          <w:b/>
          <w:bCs/>
          <w:kern w:val="0"/>
          <w:sz w:val="36"/>
          <w:szCs w:val="36"/>
          <w14:ligatures w14:val="none"/>
        </w:rPr>
        <w:t xml:space="preserve"> Day </w:t>
      </w:r>
      <w:r>
        <w:rPr>
          <w:rFonts w:eastAsia="Times New Roman" w:cs="Times New Roman"/>
          <w:b/>
          <w:bCs/>
          <w:kern w:val="0"/>
          <w:sz w:val="36"/>
          <w:szCs w:val="36"/>
          <w14:ligatures w14:val="none"/>
        </w:rPr>
        <w:t>5</w:t>
      </w:r>
      <w:r w:rsidRPr="00927518">
        <w:rPr>
          <w:rFonts w:eastAsia="Times New Roman" w:cs="Times New Roman"/>
          <w:b/>
          <w:bCs/>
          <w:kern w:val="0"/>
          <w:sz w:val="36"/>
          <w:szCs w:val="36"/>
          <w14:ligatures w14:val="none"/>
        </w:rPr>
        <w:t>:</w:t>
      </w:r>
      <w:r w:rsidR="0097685A" w:rsidRPr="0097685A">
        <w:rPr>
          <w:rFonts w:ascii="inherit" w:eastAsia="Times New Roman" w:hAnsi="inherit" w:cs="Courier New"/>
          <w:color w:val="E8EAED"/>
          <w:kern w:val="0"/>
          <w:sz w:val="42"/>
          <w:szCs w:val="42"/>
          <w:lang w:val="en"/>
          <w14:ligatures w14:val="none"/>
        </w:rPr>
        <w:t xml:space="preserve"> </w:t>
      </w:r>
      <w:r w:rsidR="0097685A" w:rsidRPr="0097685A">
        <w:rPr>
          <w:rFonts w:eastAsia="Times New Roman" w:cs="Times New Roman"/>
          <w:b/>
          <w:bCs/>
          <w:kern w:val="0"/>
          <w:sz w:val="36"/>
          <w:szCs w:val="36"/>
          <w:lang w:val="en"/>
          <w14:ligatures w14:val="none"/>
        </w:rPr>
        <w:t>Round table: “Development of regional climate policy in Central Asia: EU lessons and future prospects.”</w:t>
      </w:r>
    </w:p>
    <w:p w14:paraId="3FB04612" w14:textId="7DEFC109" w:rsidR="00675007" w:rsidRPr="00927518" w:rsidRDefault="00675007" w:rsidP="00675007">
      <w:pPr>
        <w:rPr>
          <w:b/>
          <w:bCs/>
        </w:rPr>
      </w:pPr>
      <w:r w:rsidRPr="00927518">
        <w:rPr>
          <w:b/>
          <w:bCs/>
        </w:rPr>
        <w:t>Contact &amp; Support:</w:t>
      </w:r>
    </w:p>
    <w:p w14:paraId="687D076A" w14:textId="0138A7F5" w:rsidR="00675007" w:rsidRDefault="00675007" w:rsidP="00675007">
      <w:r w:rsidRPr="00927518">
        <w:t xml:space="preserve">Students are </w:t>
      </w:r>
      <w:r w:rsidR="00133514">
        <w:t>pre-registered for the OSCE Academy</w:t>
      </w:r>
      <w:r w:rsidR="004D3BD4">
        <w:t xml:space="preserve"> for Round</w:t>
      </w:r>
      <w:r w:rsidR="004D3BD4" w:rsidRPr="004D3BD4">
        <w:t xml:space="preserve"> Table </w:t>
      </w:r>
      <w:r w:rsidR="004D3BD4" w:rsidRPr="004D3BD4">
        <w:rPr>
          <w:b/>
          <w:bCs/>
        </w:rPr>
        <w:t>"Advancing Regional Climate Policy in Central Asia: Lessons from the EU and Future Perspectives"</w:t>
      </w:r>
    </w:p>
    <w:p w14:paraId="409E968C" w14:textId="4AB1924D" w:rsidR="00133514" w:rsidRDefault="004D3BD4" w:rsidP="00675007">
      <w:r w:rsidRPr="004D3BD4">
        <w:t>The event will bring together experts, representatives of the academic community, international organizations, government agencies and the civil sector to exchange knowledge, present the project results and discuss practical steps to strengthen regional cooperation in the field of climate policy.</w:t>
      </w:r>
    </w:p>
    <w:p w14:paraId="36035C05" w14:textId="1E378B06" w:rsidR="00133514" w:rsidRDefault="004D3BD4" w:rsidP="00675007">
      <w:r>
        <w:t xml:space="preserve">More details: </w:t>
      </w:r>
      <w:hyperlink r:id="rId10" w:history="1">
        <w:r w:rsidRPr="007C66D2">
          <w:rPr>
            <w:rStyle w:val="Hyperlink"/>
          </w:rPr>
          <w:t>https://osce-academy.net/en/events/full/149.html</w:t>
        </w:r>
      </w:hyperlink>
    </w:p>
    <w:p w14:paraId="6DD7A002" w14:textId="77777777" w:rsidR="00133514" w:rsidRPr="00927518" w:rsidRDefault="00133514" w:rsidP="00675007"/>
    <w:p w14:paraId="63C0B488" w14:textId="77777777" w:rsidR="000731D6" w:rsidRPr="00927518" w:rsidRDefault="000731D6"/>
    <w:sectPr w:rsidR="000731D6" w:rsidRPr="00927518" w:rsidSect="004B305D">
      <w:footerReference w:type="default" r:id="rId1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5B4CF" w14:textId="77777777" w:rsidR="00D21B30" w:rsidRDefault="00D21B30" w:rsidP="00763B56">
      <w:pPr>
        <w:spacing w:after="0" w:line="240" w:lineRule="auto"/>
      </w:pPr>
      <w:r>
        <w:separator/>
      </w:r>
    </w:p>
  </w:endnote>
  <w:endnote w:type="continuationSeparator" w:id="0">
    <w:p w14:paraId="0F436D2A" w14:textId="77777777" w:rsidR="00D21B30" w:rsidRDefault="00D21B30" w:rsidP="00763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669351"/>
      <w:docPartObj>
        <w:docPartGallery w:val="Page Numbers (Bottom of Page)"/>
        <w:docPartUnique/>
      </w:docPartObj>
    </w:sdtPr>
    <w:sdtEndPr>
      <w:rPr>
        <w:noProof/>
      </w:rPr>
    </w:sdtEndPr>
    <w:sdtContent>
      <w:p w14:paraId="12644B01" w14:textId="0DB03EE8" w:rsidR="00763B56" w:rsidRDefault="00763B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B706C9" w14:textId="77777777" w:rsidR="00763B56" w:rsidRDefault="00763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A09E" w14:textId="77777777" w:rsidR="00D21B30" w:rsidRDefault="00D21B30" w:rsidP="00763B56">
      <w:pPr>
        <w:spacing w:after="0" w:line="240" w:lineRule="auto"/>
      </w:pPr>
      <w:r>
        <w:separator/>
      </w:r>
    </w:p>
  </w:footnote>
  <w:footnote w:type="continuationSeparator" w:id="0">
    <w:p w14:paraId="729A6CFC" w14:textId="77777777" w:rsidR="00D21B30" w:rsidRDefault="00D21B30" w:rsidP="00763B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F10"/>
    <w:multiLevelType w:val="multilevel"/>
    <w:tmpl w:val="CA0E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42639"/>
    <w:multiLevelType w:val="multilevel"/>
    <w:tmpl w:val="0DAC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F18F6"/>
    <w:multiLevelType w:val="multilevel"/>
    <w:tmpl w:val="909A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76AFE"/>
    <w:multiLevelType w:val="multilevel"/>
    <w:tmpl w:val="E2CE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F25BA"/>
    <w:multiLevelType w:val="multilevel"/>
    <w:tmpl w:val="F7F2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B4EE3"/>
    <w:multiLevelType w:val="multilevel"/>
    <w:tmpl w:val="5418A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6388B"/>
    <w:multiLevelType w:val="multilevel"/>
    <w:tmpl w:val="FBFC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7399E"/>
    <w:multiLevelType w:val="multilevel"/>
    <w:tmpl w:val="25E8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D6200"/>
    <w:multiLevelType w:val="multilevel"/>
    <w:tmpl w:val="B7D2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965C7"/>
    <w:multiLevelType w:val="multilevel"/>
    <w:tmpl w:val="CC4E6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6"/>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E5154"/>
    <w:multiLevelType w:val="multilevel"/>
    <w:tmpl w:val="8D8A7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6659E"/>
    <w:multiLevelType w:val="hybridMultilevel"/>
    <w:tmpl w:val="3782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F049F"/>
    <w:multiLevelType w:val="multilevel"/>
    <w:tmpl w:val="D9F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26B1D"/>
    <w:multiLevelType w:val="multilevel"/>
    <w:tmpl w:val="24CE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865FD"/>
    <w:multiLevelType w:val="multilevel"/>
    <w:tmpl w:val="AA26E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05E15"/>
    <w:multiLevelType w:val="multilevel"/>
    <w:tmpl w:val="439C1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F11D9"/>
    <w:multiLevelType w:val="multilevel"/>
    <w:tmpl w:val="DB6A2FB6"/>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26"/>
      <w:numFmt w:val="bullet"/>
      <w:lvlText w:val="-"/>
      <w:lvlJc w:val="left"/>
      <w:pPr>
        <w:ind w:left="1800" w:hanging="360"/>
      </w:pPr>
      <w:rPr>
        <w:rFonts w:ascii="Aptos" w:eastAsiaTheme="minorHAnsi" w:hAnsi="Aptos" w:cstheme="minorBidi"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6B01D02"/>
    <w:multiLevelType w:val="multilevel"/>
    <w:tmpl w:val="19A4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031F2D"/>
    <w:multiLevelType w:val="multilevel"/>
    <w:tmpl w:val="77A2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81BA0"/>
    <w:multiLevelType w:val="multilevel"/>
    <w:tmpl w:val="11E4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612F45"/>
    <w:multiLevelType w:val="multilevel"/>
    <w:tmpl w:val="570AB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0405D5"/>
    <w:multiLevelType w:val="multilevel"/>
    <w:tmpl w:val="C866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C773C"/>
    <w:multiLevelType w:val="multilevel"/>
    <w:tmpl w:val="FF0A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153075"/>
    <w:multiLevelType w:val="multilevel"/>
    <w:tmpl w:val="49663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97312A"/>
    <w:multiLevelType w:val="multilevel"/>
    <w:tmpl w:val="9E187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FA1187"/>
    <w:multiLevelType w:val="multilevel"/>
    <w:tmpl w:val="ED4640F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26"/>
      <w:numFmt w:val="bullet"/>
      <w:lvlText w:val="-"/>
      <w:lvlJc w:val="left"/>
      <w:pPr>
        <w:ind w:left="1800" w:hanging="360"/>
      </w:pPr>
      <w:rPr>
        <w:rFonts w:ascii="Aptos" w:eastAsiaTheme="minorHAnsi" w:hAnsi="Aptos" w:cstheme="minorBidi"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15341178">
    <w:abstractNumId w:val="4"/>
  </w:num>
  <w:num w:numId="2" w16cid:durableId="223492172">
    <w:abstractNumId w:val="8"/>
  </w:num>
  <w:num w:numId="3" w16cid:durableId="1050152810">
    <w:abstractNumId w:val="9"/>
  </w:num>
  <w:num w:numId="4" w16cid:durableId="528565335">
    <w:abstractNumId w:val="22"/>
  </w:num>
  <w:num w:numId="5" w16cid:durableId="993684823">
    <w:abstractNumId w:val="6"/>
  </w:num>
  <w:num w:numId="6" w16cid:durableId="482040460">
    <w:abstractNumId w:val="14"/>
  </w:num>
  <w:num w:numId="7" w16cid:durableId="1919630814">
    <w:abstractNumId w:val="20"/>
  </w:num>
  <w:num w:numId="8" w16cid:durableId="1844005679">
    <w:abstractNumId w:val="10"/>
  </w:num>
  <w:num w:numId="9" w16cid:durableId="1759908528">
    <w:abstractNumId w:val="24"/>
  </w:num>
  <w:num w:numId="10" w16cid:durableId="846167656">
    <w:abstractNumId w:val="5"/>
  </w:num>
  <w:num w:numId="11" w16cid:durableId="692923776">
    <w:abstractNumId w:val="12"/>
  </w:num>
  <w:num w:numId="12" w16cid:durableId="1380399295">
    <w:abstractNumId w:val="16"/>
  </w:num>
  <w:num w:numId="13" w16cid:durableId="228852324">
    <w:abstractNumId w:val="25"/>
  </w:num>
  <w:num w:numId="14" w16cid:durableId="461730639">
    <w:abstractNumId w:val="15"/>
  </w:num>
  <w:num w:numId="15" w16cid:durableId="1006522384">
    <w:abstractNumId w:val="23"/>
  </w:num>
  <w:num w:numId="16" w16cid:durableId="559249669">
    <w:abstractNumId w:val="13"/>
  </w:num>
  <w:num w:numId="17" w16cid:durableId="1765612015">
    <w:abstractNumId w:val="1"/>
  </w:num>
  <w:num w:numId="18" w16cid:durableId="1237860766">
    <w:abstractNumId w:val="3"/>
  </w:num>
  <w:num w:numId="19" w16cid:durableId="1893886035">
    <w:abstractNumId w:val="7"/>
  </w:num>
  <w:num w:numId="20" w16cid:durableId="1513110207">
    <w:abstractNumId w:val="0"/>
  </w:num>
  <w:num w:numId="21" w16cid:durableId="1621959029">
    <w:abstractNumId w:val="18"/>
  </w:num>
  <w:num w:numId="22" w16cid:durableId="963196793">
    <w:abstractNumId w:val="17"/>
  </w:num>
  <w:num w:numId="23" w16cid:durableId="212694403">
    <w:abstractNumId w:val="19"/>
  </w:num>
  <w:num w:numId="24" w16cid:durableId="791051048">
    <w:abstractNumId w:val="21"/>
  </w:num>
  <w:num w:numId="25" w16cid:durableId="663976785">
    <w:abstractNumId w:val="2"/>
  </w:num>
  <w:num w:numId="26" w16cid:durableId="1985045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07"/>
    <w:rsid w:val="00000C4A"/>
    <w:rsid w:val="00002FF8"/>
    <w:rsid w:val="00006AF9"/>
    <w:rsid w:val="00032C26"/>
    <w:rsid w:val="0004067A"/>
    <w:rsid w:val="000467DF"/>
    <w:rsid w:val="00055BDA"/>
    <w:rsid w:val="000731D6"/>
    <w:rsid w:val="00076104"/>
    <w:rsid w:val="00085878"/>
    <w:rsid w:val="00103580"/>
    <w:rsid w:val="0011254D"/>
    <w:rsid w:val="00133514"/>
    <w:rsid w:val="001466C1"/>
    <w:rsid w:val="00175B7F"/>
    <w:rsid w:val="001B3F0C"/>
    <w:rsid w:val="001C54D0"/>
    <w:rsid w:val="0021064F"/>
    <w:rsid w:val="002136F1"/>
    <w:rsid w:val="00242F57"/>
    <w:rsid w:val="002523D6"/>
    <w:rsid w:val="00256569"/>
    <w:rsid w:val="00270F19"/>
    <w:rsid w:val="00286135"/>
    <w:rsid w:val="002E1FA2"/>
    <w:rsid w:val="00313298"/>
    <w:rsid w:val="00321AEC"/>
    <w:rsid w:val="0034126C"/>
    <w:rsid w:val="00372439"/>
    <w:rsid w:val="003977A6"/>
    <w:rsid w:val="003D2163"/>
    <w:rsid w:val="00405770"/>
    <w:rsid w:val="00425BB5"/>
    <w:rsid w:val="00437BC1"/>
    <w:rsid w:val="004A1C30"/>
    <w:rsid w:val="004B305D"/>
    <w:rsid w:val="004B402F"/>
    <w:rsid w:val="004D3BD4"/>
    <w:rsid w:val="004F7CB2"/>
    <w:rsid w:val="00507AE6"/>
    <w:rsid w:val="005411F3"/>
    <w:rsid w:val="0056534E"/>
    <w:rsid w:val="005756E2"/>
    <w:rsid w:val="00581199"/>
    <w:rsid w:val="005B7EF3"/>
    <w:rsid w:val="005F2F83"/>
    <w:rsid w:val="005F65FD"/>
    <w:rsid w:val="0061302D"/>
    <w:rsid w:val="00675007"/>
    <w:rsid w:val="0068358A"/>
    <w:rsid w:val="006927F9"/>
    <w:rsid w:val="006B1FBB"/>
    <w:rsid w:val="006B60C2"/>
    <w:rsid w:val="006C69DD"/>
    <w:rsid w:val="006F47DB"/>
    <w:rsid w:val="0070686F"/>
    <w:rsid w:val="0071211E"/>
    <w:rsid w:val="00712A5D"/>
    <w:rsid w:val="0073157D"/>
    <w:rsid w:val="00763B56"/>
    <w:rsid w:val="007C50AC"/>
    <w:rsid w:val="00802993"/>
    <w:rsid w:val="008171B8"/>
    <w:rsid w:val="00825F99"/>
    <w:rsid w:val="008B0EF5"/>
    <w:rsid w:val="008B32A4"/>
    <w:rsid w:val="008B358F"/>
    <w:rsid w:val="008F4961"/>
    <w:rsid w:val="00915F81"/>
    <w:rsid w:val="00927518"/>
    <w:rsid w:val="009532CE"/>
    <w:rsid w:val="0095415A"/>
    <w:rsid w:val="0097685A"/>
    <w:rsid w:val="00991C3F"/>
    <w:rsid w:val="00995A32"/>
    <w:rsid w:val="009A472A"/>
    <w:rsid w:val="00A02775"/>
    <w:rsid w:val="00A05EBB"/>
    <w:rsid w:val="00A55263"/>
    <w:rsid w:val="00A642F8"/>
    <w:rsid w:val="00A65133"/>
    <w:rsid w:val="00A83648"/>
    <w:rsid w:val="00A862F4"/>
    <w:rsid w:val="00AD32C4"/>
    <w:rsid w:val="00AD5195"/>
    <w:rsid w:val="00AF6CB3"/>
    <w:rsid w:val="00B04F24"/>
    <w:rsid w:val="00B14619"/>
    <w:rsid w:val="00B57835"/>
    <w:rsid w:val="00B622F0"/>
    <w:rsid w:val="00B802DF"/>
    <w:rsid w:val="00B962A4"/>
    <w:rsid w:val="00BB7244"/>
    <w:rsid w:val="00C30265"/>
    <w:rsid w:val="00C346C6"/>
    <w:rsid w:val="00CB410F"/>
    <w:rsid w:val="00CE5D48"/>
    <w:rsid w:val="00D15073"/>
    <w:rsid w:val="00D21B30"/>
    <w:rsid w:val="00D60ACD"/>
    <w:rsid w:val="00D7546E"/>
    <w:rsid w:val="00DA2BB0"/>
    <w:rsid w:val="00DA5EFF"/>
    <w:rsid w:val="00DF0663"/>
    <w:rsid w:val="00DF2AC3"/>
    <w:rsid w:val="00E04B94"/>
    <w:rsid w:val="00E6351B"/>
    <w:rsid w:val="00EC718F"/>
    <w:rsid w:val="00F13D79"/>
    <w:rsid w:val="00F51EA6"/>
    <w:rsid w:val="00F52825"/>
    <w:rsid w:val="00F827F5"/>
    <w:rsid w:val="00F82AFB"/>
    <w:rsid w:val="00F84282"/>
    <w:rsid w:val="00FA7DA8"/>
    <w:rsid w:val="00FD0FA0"/>
    <w:rsid w:val="00FD1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CDF2"/>
  <w15:chartTrackingRefBased/>
  <w15:docId w15:val="{9E78A829-0A09-4AAD-B94E-8A54F035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518"/>
  </w:style>
  <w:style w:type="paragraph" w:styleId="Heading1">
    <w:name w:val="heading 1"/>
    <w:basedOn w:val="Normal"/>
    <w:next w:val="Normal"/>
    <w:link w:val="Heading1Char"/>
    <w:uiPriority w:val="9"/>
    <w:qFormat/>
    <w:rsid w:val="00675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007"/>
    <w:rPr>
      <w:rFonts w:eastAsiaTheme="majorEastAsia" w:cstheme="majorBidi"/>
      <w:color w:val="272727" w:themeColor="text1" w:themeTint="D8"/>
    </w:rPr>
  </w:style>
  <w:style w:type="paragraph" w:styleId="Title">
    <w:name w:val="Title"/>
    <w:basedOn w:val="Normal"/>
    <w:next w:val="Normal"/>
    <w:link w:val="TitleChar"/>
    <w:uiPriority w:val="10"/>
    <w:qFormat/>
    <w:rsid w:val="00675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007"/>
    <w:pPr>
      <w:spacing w:before="160"/>
      <w:jc w:val="center"/>
    </w:pPr>
    <w:rPr>
      <w:i/>
      <w:iCs/>
      <w:color w:val="404040" w:themeColor="text1" w:themeTint="BF"/>
    </w:rPr>
  </w:style>
  <w:style w:type="character" w:customStyle="1" w:styleId="QuoteChar">
    <w:name w:val="Quote Char"/>
    <w:basedOn w:val="DefaultParagraphFont"/>
    <w:link w:val="Quote"/>
    <w:uiPriority w:val="29"/>
    <w:rsid w:val="00675007"/>
    <w:rPr>
      <w:i/>
      <w:iCs/>
      <w:color w:val="404040" w:themeColor="text1" w:themeTint="BF"/>
    </w:rPr>
  </w:style>
  <w:style w:type="paragraph" w:styleId="ListParagraph">
    <w:name w:val="List Paragraph"/>
    <w:basedOn w:val="Normal"/>
    <w:uiPriority w:val="34"/>
    <w:qFormat/>
    <w:rsid w:val="00675007"/>
    <w:pPr>
      <w:ind w:left="720"/>
      <w:contextualSpacing/>
    </w:pPr>
  </w:style>
  <w:style w:type="character" w:styleId="IntenseEmphasis">
    <w:name w:val="Intense Emphasis"/>
    <w:basedOn w:val="DefaultParagraphFont"/>
    <w:uiPriority w:val="21"/>
    <w:qFormat/>
    <w:rsid w:val="00675007"/>
    <w:rPr>
      <w:i/>
      <w:iCs/>
      <w:color w:val="0F4761" w:themeColor="accent1" w:themeShade="BF"/>
    </w:rPr>
  </w:style>
  <w:style w:type="paragraph" w:styleId="IntenseQuote">
    <w:name w:val="Intense Quote"/>
    <w:basedOn w:val="Normal"/>
    <w:next w:val="Normal"/>
    <w:link w:val="IntenseQuoteChar"/>
    <w:uiPriority w:val="30"/>
    <w:qFormat/>
    <w:rsid w:val="00675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007"/>
    <w:rPr>
      <w:i/>
      <w:iCs/>
      <w:color w:val="0F4761" w:themeColor="accent1" w:themeShade="BF"/>
    </w:rPr>
  </w:style>
  <w:style w:type="character" w:styleId="IntenseReference">
    <w:name w:val="Intense Reference"/>
    <w:basedOn w:val="DefaultParagraphFont"/>
    <w:uiPriority w:val="32"/>
    <w:qFormat/>
    <w:rsid w:val="00675007"/>
    <w:rPr>
      <w:b/>
      <w:bCs/>
      <w:smallCaps/>
      <w:color w:val="0F4761" w:themeColor="accent1" w:themeShade="BF"/>
      <w:spacing w:val="5"/>
    </w:rPr>
  </w:style>
  <w:style w:type="table" w:styleId="TableGrid">
    <w:name w:val="Table Grid"/>
    <w:basedOn w:val="TableNormal"/>
    <w:uiPriority w:val="39"/>
    <w:rsid w:val="00A0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580"/>
    <w:rPr>
      <w:color w:val="467886" w:themeColor="hyperlink"/>
      <w:u w:val="single"/>
    </w:rPr>
  </w:style>
  <w:style w:type="character" w:styleId="UnresolvedMention">
    <w:name w:val="Unresolved Mention"/>
    <w:basedOn w:val="DefaultParagraphFont"/>
    <w:uiPriority w:val="99"/>
    <w:semiHidden/>
    <w:unhideWhenUsed/>
    <w:rsid w:val="00103580"/>
    <w:rPr>
      <w:color w:val="605E5C"/>
      <w:shd w:val="clear" w:color="auto" w:fill="E1DFDD"/>
    </w:rPr>
  </w:style>
  <w:style w:type="character" w:styleId="FollowedHyperlink">
    <w:name w:val="FollowedHyperlink"/>
    <w:basedOn w:val="DefaultParagraphFont"/>
    <w:uiPriority w:val="99"/>
    <w:semiHidden/>
    <w:unhideWhenUsed/>
    <w:rsid w:val="00991C3F"/>
    <w:rPr>
      <w:color w:val="96607D" w:themeColor="followedHyperlink"/>
      <w:u w:val="single"/>
    </w:rPr>
  </w:style>
  <w:style w:type="paragraph" w:styleId="Header">
    <w:name w:val="header"/>
    <w:basedOn w:val="Normal"/>
    <w:link w:val="HeaderChar"/>
    <w:uiPriority w:val="99"/>
    <w:unhideWhenUsed/>
    <w:rsid w:val="00763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B56"/>
  </w:style>
  <w:style w:type="paragraph" w:styleId="Footer">
    <w:name w:val="footer"/>
    <w:basedOn w:val="Normal"/>
    <w:link w:val="FooterChar"/>
    <w:uiPriority w:val="99"/>
    <w:unhideWhenUsed/>
    <w:rsid w:val="00763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B56"/>
  </w:style>
  <w:style w:type="paragraph" w:styleId="HTMLPreformatted">
    <w:name w:val="HTML Preformatted"/>
    <w:basedOn w:val="Normal"/>
    <w:link w:val="HTMLPreformattedChar"/>
    <w:uiPriority w:val="99"/>
    <w:semiHidden/>
    <w:unhideWhenUsed/>
    <w:rsid w:val="0097685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7685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62477">
      <w:bodyDiv w:val="1"/>
      <w:marLeft w:val="0"/>
      <w:marRight w:val="0"/>
      <w:marTop w:val="0"/>
      <w:marBottom w:val="0"/>
      <w:divBdr>
        <w:top w:val="none" w:sz="0" w:space="0" w:color="auto"/>
        <w:left w:val="none" w:sz="0" w:space="0" w:color="auto"/>
        <w:bottom w:val="none" w:sz="0" w:space="0" w:color="auto"/>
        <w:right w:val="none" w:sz="0" w:space="0" w:color="auto"/>
      </w:divBdr>
      <w:divsChild>
        <w:div w:id="686365212">
          <w:marLeft w:val="0"/>
          <w:marRight w:val="0"/>
          <w:marTop w:val="0"/>
          <w:marBottom w:val="0"/>
          <w:divBdr>
            <w:top w:val="none" w:sz="0" w:space="0" w:color="auto"/>
            <w:left w:val="none" w:sz="0" w:space="0" w:color="auto"/>
            <w:bottom w:val="none" w:sz="0" w:space="0" w:color="auto"/>
            <w:right w:val="none" w:sz="0" w:space="0" w:color="auto"/>
          </w:divBdr>
        </w:div>
        <w:div w:id="2123065014">
          <w:marLeft w:val="0"/>
          <w:marRight w:val="0"/>
          <w:marTop w:val="0"/>
          <w:marBottom w:val="0"/>
          <w:divBdr>
            <w:top w:val="none" w:sz="0" w:space="0" w:color="auto"/>
            <w:left w:val="none" w:sz="0" w:space="0" w:color="auto"/>
            <w:bottom w:val="none" w:sz="0" w:space="0" w:color="auto"/>
            <w:right w:val="none" w:sz="0" w:space="0" w:color="auto"/>
          </w:divBdr>
        </w:div>
        <w:div w:id="1416975162">
          <w:marLeft w:val="0"/>
          <w:marRight w:val="0"/>
          <w:marTop w:val="0"/>
          <w:marBottom w:val="0"/>
          <w:divBdr>
            <w:top w:val="none" w:sz="0" w:space="0" w:color="auto"/>
            <w:left w:val="none" w:sz="0" w:space="0" w:color="auto"/>
            <w:bottom w:val="none" w:sz="0" w:space="0" w:color="auto"/>
            <w:right w:val="none" w:sz="0" w:space="0" w:color="auto"/>
          </w:divBdr>
        </w:div>
        <w:div w:id="315652293">
          <w:marLeft w:val="0"/>
          <w:marRight w:val="0"/>
          <w:marTop w:val="0"/>
          <w:marBottom w:val="0"/>
          <w:divBdr>
            <w:top w:val="none" w:sz="0" w:space="0" w:color="auto"/>
            <w:left w:val="none" w:sz="0" w:space="0" w:color="auto"/>
            <w:bottom w:val="none" w:sz="0" w:space="0" w:color="auto"/>
            <w:right w:val="none" w:sz="0" w:space="0" w:color="auto"/>
          </w:divBdr>
        </w:div>
        <w:div w:id="1760058084">
          <w:marLeft w:val="0"/>
          <w:marRight w:val="0"/>
          <w:marTop w:val="0"/>
          <w:marBottom w:val="0"/>
          <w:divBdr>
            <w:top w:val="none" w:sz="0" w:space="0" w:color="auto"/>
            <w:left w:val="none" w:sz="0" w:space="0" w:color="auto"/>
            <w:bottom w:val="none" w:sz="0" w:space="0" w:color="auto"/>
            <w:right w:val="none" w:sz="0" w:space="0" w:color="auto"/>
          </w:divBdr>
        </w:div>
        <w:div w:id="845171750">
          <w:marLeft w:val="0"/>
          <w:marRight w:val="0"/>
          <w:marTop w:val="0"/>
          <w:marBottom w:val="0"/>
          <w:divBdr>
            <w:top w:val="none" w:sz="0" w:space="0" w:color="auto"/>
            <w:left w:val="none" w:sz="0" w:space="0" w:color="auto"/>
            <w:bottom w:val="none" w:sz="0" w:space="0" w:color="auto"/>
            <w:right w:val="none" w:sz="0" w:space="0" w:color="auto"/>
          </w:divBdr>
        </w:div>
        <w:div w:id="2080594987">
          <w:marLeft w:val="0"/>
          <w:marRight w:val="0"/>
          <w:marTop w:val="0"/>
          <w:marBottom w:val="0"/>
          <w:divBdr>
            <w:top w:val="none" w:sz="0" w:space="0" w:color="auto"/>
            <w:left w:val="none" w:sz="0" w:space="0" w:color="auto"/>
            <w:bottom w:val="none" w:sz="0" w:space="0" w:color="auto"/>
            <w:right w:val="none" w:sz="0" w:space="0" w:color="auto"/>
          </w:divBdr>
        </w:div>
      </w:divsChild>
    </w:div>
    <w:div w:id="546575743">
      <w:bodyDiv w:val="1"/>
      <w:marLeft w:val="0"/>
      <w:marRight w:val="0"/>
      <w:marTop w:val="0"/>
      <w:marBottom w:val="0"/>
      <w:divBdr>
        <w:top w:val="none" w:sz="0" w:space="0" w:color="auto"/>
        <w:left w:val="none" w:sz="0" w:space="0" w:color="auto"/>
        <w:bottom w:val="none" w:sz="0" w:space="0" w:color="auto"/>
        <w:right w:val="none" w:sz="0" w:space="0" w:color="auto"/>
      </w:divBdr>
    </w:div>
    <w:div w:id="584725206">
      <w:bodyDiv w:val="1"/>
      <w:marLeft w:val="0"/>
      <w:marRight w:val="0"/>
      <w:marTop w:val="0"/>
      <w:marBottom w:val="0"/>
      <w:divBdr>
        <w:top w:val="none" w:sz="0" w:space="0" w:color="auto"/>
        <w:left w:val="none" w:sz="0" w:space="0" w:color="auto"/>
        <w:bottom w:val="none" w:sz="0" w:space="0" w:color="auto"/>
        <w:right w:val="none" w:sz="0" w:space="0" w:color="auto"/>
      </w:divBdr>
    </w:div>
    <w:div w:id="651064602">
      <w:bodyDiv w:val="1"/>
      <w:marLeft w:val="0"/>
      <w:marRight w:val="0"/>
      <w:marTop w:val="0"/>
      <w:marBottom w:val="0"/>
      <w:divBdr>
        <w:top w:val="none" w:sz="0" w:space="0" w:color="auto"/>
        <w:left w:val="none" w:sz="0" w:space="0" w:color="auto"/>
        <w:bottom w:val="none" w:sz="0" w:space="0" w:color="auto"/>
        <w:right w:val="none" w:sz="0" w:space="0" w:color="auto"/>
      </w:divBdr>
    </w:div>
    <w:div w:id="725644797">
      <w:bodyDiv w:val="1"/>
      <w:marLeft w:val="0"/>
      <w:marRight w:val="0"/>
      <w:marTop w:val="0"/>
      <w:marBottom w:val="0"/>
      <w:divBdr>
        <w:top w:val="none" w:sz="0" w:space="0" w:color="auto"/>
        <w:left w:val="none" w:sz="0" w:space="0" w:color="auto"/>
        <w:bottom w:val="none" w:sz="0" w:space="0" w:color="auto"/>
        <w:right w:val="none" w:sz="0" w:space="0" w:color="auto"/>
      </w:divBdr>
    </w:div>
    <w:div w:id="809595655">
      <w:bodyDiv w:val="1"/>
      <w:marLeft w:val="0"/>
      <w:marRight w:val="0"/>
      <w:marTop w:val="0"/>
      <w:marBottom w:val="0"/>
      <w:divBdr>
        <w:top w:val="none" w:sz="0" w:space="0" w:color="auto"/>
        <w:left w:val="none" w:sz="0" w:space="0" w:color="auto"/>
        <w:bottom w:val="none" w:sz="0" w:space="0" w:color="auto"/>
        <w:right w:val="none" w:sz="0" w:space="0" w:color="auto"/>
      </w:divBdr>
    </w:div>
    <w:div w:id="849181009">
      <w:bodyDiv w:val="1"/>
      <w:marLeft w:val="0"/>
      <w:marRight w:val="0"/>
      <w:marTop w:val="0"/>
      <w:marBottom w:val="0"/>
      <w:divBdr>
        <w:top w:val="none" w:sz="0" w:space="0" w:color="auto"/>
        <w:left w:val="none" w:sz="0" w:space="0" w:color="auto"/>
        <w:bottom w:val="none" w:sz="0" w:space="0" w:color="auto"/>
        <w:right w:val="none" w:sz="0" w:space="0" w:color="auto"/>
      </w:divBdr>
    </w:div>
    <w:div w:id="905652079">
      <w:bodyDiv w:val="1"/>
      <w:marLeft w:val="0"/>
      <w:marRight w:val="0"/>
      <w:marTop w:val="0"/>
      <w:marBottom w:val="0"/>
      <w:divBdr>
        <w:top w:val="none" w:sz="0" w:space="0" w:color="auto"/>
        <w:left w:val="none" w:sz="0" w:space="0" w:color="auto"/>
        <w:bottom w:val="none" w:sz="0" w:space="0" w:color="auto"/>
        <w:right w:val="none" w:sz="0" w:space="0" w:color="auto"/>
      </w:divBdr>
    </w:div>
    <w:div w:id="1016158647">
      <w:bodyDiv w:val="1"/>
      <w:marLeft w:val="0"/>
      <w:marRight w:val="0"/>
      <w:marTop w:val="0"/>
      <w:marBottom w:val="0"/>
      <w:divBdr>
        <w:top w:val="none" w:sz="0" w:space="0" w:color="auto"/>
        <w:left w:val="none" w:sz="0" w:space="0" w:color="auto"/>
        <w:bottom w:val="none" w:sz="0" w:space="0" w:color="auto"/>
        <w:right w:val="none" w:sz="0" w:space="0" w:color="auto"/>
      </w:divBdr>
      <w:divsChild>
        <w:div w:id="1405226172">
          <w:marLeft w:val="0"/>
          <w:marRight w:val="0"/>
          <w:marTop w:val="0"/>
          <w:marBottom w:val="0"/>
          <w:divBdr>
            <w:top w:val="none" w:sz="0" w:space="0" w:color="auto"/>
            <w:left w:val="none" w:sz="0" w:space="0" w:color="auto"/>
            <w:bottom w:val="none" w:sz="0" w:space="0" w:color="auto"/>
            <w:right w:val="none" w:sz="0" w:space="0" w:color="auto"/>
          </w:divBdr>
        </w:div>
        <w:div w:id="114838064">
          <w:marLeft w:val="0"/>
          <w:marRight w:val="0"/>
          <w:marTop w:val="0"/>
          <w:marBottom w:val="0"/>
          <w:divBdr>
            <w:top w:val="none" w:sz="0" w:space="0" w:color="auto"/>
            <w:left w:val="none" w:sz="0" w:space="0" w:color="auto"/>
            <w:bottom w:val="none" w:sz="0" w:space="0" w:color="auto"/>
            <w:right w:val="none" w:sz="0" w:space="0" w:color="auto"/>
          </w:divBdr>
        </w:div>
        <w:div w:id="1892040302">
          <w:marLeft w:val="0"/>
          <w:marRight w:val="0"/>
          <w:marTop w:val="0"/>
          <w:marBottom w:val="0"/>
          <w:divBdr>
            <w:top w:val="none" w:sz="0" w:space="0" w:color="auto"/>
            <w:left w:val="none" w:sz="0" w:space="0" w:color="auto"/>
            <w:bottom w:val="none" w:sz="0" w:space="0" w:color="auto"/>
            <w:right w:val="none" w:sz="0" w:space="0" w:color="auto"/>
          </w:divBdr>
        </w:div>
        <w:div w:id="1871450882">
          <w:marLeft w:val="0"/>
          <w:marRight w:val="0"/>
          <w:marTop w:val="0"/>
          <w:marBottom w:val="0"/>
          <w:divBdr>
            <w:top w:val="none" w:sz="0" w:space="0" w:color="auto"/>
            <w:left w:val="none" w:sz="0" w:space="0" w:color="auto"/>
            <w:bottom w:val="none" w:sz="0" w:space="0" w:color="auto"/>
            <w:right w:val="none" w:sz="0" w:space="0" w:color="auto"/>
          </w:divBdr>
        </w:div>
        <w:div w:id="658078376">
          <w:marLeft w:val="0"/>
          <w:marRight w:val="0"/>
          <w:marTop w:val="0"/>
          <w:marBottom w:val="0"/>
          <w:divBdr>
            <w:top w:val="none" w:sz="0" w:space="0" w:color="auto"/>
            <w:left w:val="none" w:sz="0" w:space="0" w:color="auto"/>
            <w:bottom w:val="none" w:sz="0" w:space="0" w:color="auto"/>
            <w:right w:val="none" w:sz="0" w:space="0" w:color="auto"/>
          </w:divBdr>
        </w:div>
        <w:div w:id="1196844249">
          <w:marLeft w:val="0"/>
          <w:marRight w:val="0"/>
          <w:marTop w:val="0"/>
          <w:marBottom w:val="0"/>
          <w:divBdr>
            <w:top w:val="none" w:sz="0" w:space="0" w:color="auto"/>
            <w:left w:val="none" w:sz="0" w:space="0" w:color="auto"/>
            <w:bottom w:val="none" w:sz="0" w:space="0" w:color="auto"/>
            <w:right w:val="none" w:sz="0" w:space="0" w:color="auto"/>
          </w:divBdr>
        </w:div>
        <w:div w:id="150831064">
          <w:marLeft w:val="0"/>
          <w:marRight w:val="0"/>
          <w:marTop w:val="0"/>
          <w:marBottom w:val="0"/>
          <w:divBdr>
            <w:top w:val="none" w:sz="0" w:space="0" w:color="auto"/>
            <w:left w:val="none" w:sz="0" w:space="0" w:color="auto"/>
            <w:bottom w:val="none" w:sz="0" w:space="0" w:color="auto"/>
            <w:right w:val="none" w:sz="0" w:space="0" w:color="auto"/>
          </w:divBdr>
        </w:div>
      </w:divsChild>
    </w:div>
    <w:div w:id="1107964098">
      <w:bodyDiv w:val="1"/>
      <w:marLeft w:val="0"/>
      <w:marRight w:val="0"/>
      <w:marTop w:val="0"/>
      <w:marBottom w:val="0"/>
      <w:divBdr>
        <w:top w:val="none" w:sz="0" w:space="0" w:color="auto"/>
        <w:left w:val="none" w:sz="0" w:space="0" w:color="auto"/>
        <w:bottom w:val="none" w:sz="0" w:space="0" w:color="auto"/>
        <w:right w:val="none" w:sz="0" w:space="0" w:color="auto"/>
      </w:divBdr>
    </w:div>
    <w:div w:id="210517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BU48JHJ-4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e-OiG6p2dH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sce-academy.net/en/events/full/149.html" TargetMode="External"/><Relationship Id="rId4" Type="http://schemas.openxmlformats.org/officeDocument/2006/relationships/webSettings" Target="webSettings.xml"/><Relationship Id="rId9" Type="http://schemas.openxmlformats.org/officeDocument/2006/relationships/hyperlink" Target="https://commission.europa.eu/document/download/9db1c5c8-9e82-467b-ab6a-905feeb4b6b0_en?filename=Communication%20-%20Clean%20Industrial%20Deal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Rahat Sabyrbekov</dc:creator>
  <cp:keywords/>
  <dc:description/>
  <cp:lastModifiedBy>Rahat Sabyrbekov</cp:lastModifiedBy>
  <cp:revision>8</cp:revision>
  <dcterms:created xsi:type="dcterms:W3CDTF">2025-06-20T10:24:00Z</dcterms:created>
  <dcterms:modified xsi:type="dcterms:W3CDTF">2025-06-20T10:29:00Z</dcterms:modified>
</cp:coreProperties>
</file>